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6891" w:rsidRDefault="00476891" w:rsidP="00476891">
      <w:pPr>
        <w:pStyle w:val="Heading1"/>
        <w:numPr>
          <w:ilvl w:val="0"/>
          <w:numId w:val="0"/>
        </w:numPr>
      </w:pPr>
      <w:bookmarkStart w:id="0" w:name="_Ref307581529"/>
      <w:r>
        <w:t>Appendix A-4</w:t>
      </w:r>
      <w:bookmarkEnd w:id="0"/>
    </w:p>
    <w:p w:rsidR="00476891" w:rsidRPr="00476891" w:rsidRDefault="00476891" w:rsidP="00476891">
      <w:pPr>
        <w:pStyle w:val="Heading1"/>
        <w:numPr>
          <w:ilvl w:val="0"/>
          <w:numId w:val="0"/>
        </w:numPr>
      </w:pPr>
      <w:r>
        <w:t>Commercial Refrigeration</w:t>
      </w:r>
    </w:p>
    <w:p w:rsidR="001A749A" w:rsidRDefault="00476891" w:rsidP="00476891">
      <w:pPr>
        <w:pStyle w:val="Caption"/>
        <w:rPr>
          <w:rFonts w:eastAsiaTheme="minorHAnsi"/>
          <w:b w:val="0"/>
        </w:rPr>
      </w:pPr>
      <w:r>
        <w:t>Table A-4-</w:t>
      </w:r>
      <w:fldSimple w:instr=" STYLEREF 1 \s ">
        <w:r>
          <w:rPr>
            <w:noProof/>
          </w:rPr>
          <w:t>0</w:t>
        </w:r>
      </w:fldSimple>
      <w:r>
        <w:noBreakHyphen/>
      </w:r>
      <w:fldSimple w:instr=" SEQ Table \* ARABIC \s 1 ">
        <w:r>
          <w:rPr>
            <w:noProof/>
          </w:rPr>
          <w:t>1</w:t>
        </w:r>
      </w:fldSimple>
      <w:r>
        <w:t xml:space="preserve">: </w:t>
      </w:r>
      <w:r w:rsidR="00D20389" w:rsidRPr="009A749A">
        <w:rPr>
          <w:rFonts w:eastAsiaTheme="minorHAnsi"/>
        </w:rPr>
        <w:t xml:space="preserve">Overview </w:t>
      </w:r>
      <w:r w:rsidR="001A749A" w:rsidRPr="009A749A">
        <w:rPr>
          <w:rFonts w:eastAsiaTheme="minorHAnsi"/>
        </w:rPr>
        <w:t>of Methods, Da</w:t>
      </w:r>
      <w:r w:rsidR="009A749A">
        <w:rPr>
          <w:rFonts w:eastAsiaTheme="minorHAnsi"/>
        </w:rPr>
        <w:t xml:space="preserve">ta and NTGR </w:t>
      </w:r>
      <w:r w:rsidR="00D20389">
        <w:rPr>
          <w:rFonts w:eastAsiaTheme="minorHAnsi"/>
        </w:rPr>
        <w:t xml:space="preserve">Results </w:t>
      </w:r>
      <w:r w:rsidR="009A749A">
        <w:rPr>
          <w:rFonts w:eastAsiaTheme="minorHAnsi"/>
        </w:rPr>
        <w:t>by Method</w:t>
      </w:r>
    </w:p>
    <w:tbl>
      <w:tblPr>
        <w:tblStyle w:val="TableProfessional"/>
        <w:tblW w:w="4993" w:type="pct"/>
        <w:tblLayout w:type="fixed"/>
        <w:tblLook w:val="04A0"/>
      </w:tblPr>
      <w:tblGrid>
        <w:gridCol w:w="1547"/>
        <w:gridCol w:w="989"/>
        <w:gridCol w:w="1261"/>
        <w:gridCol w:w="1797"/>
        <w:gridCol w:w="1621"/>
        <w:gridCol w:w="3332"/>
        <w:gridCol w:w="2611"/>
      </w:tblGrid>
      <w:tr w:rsidR="00910C31" w:rsidRPr="00AB7098" w:rsidTr="000E34CB">
        <w:trPr>
          <w:cnfStyle w:val="100000000000"/>
          <w:cantSplit/>
          <w:trHeight w:val="206"/>
          <w:tblHeader/>
        </w:trPr>
        <w:tc>
          <w:tcPr>
            <w:tcW w:w="5000" w:type="pct"/>
            <w:gridSpan w:val="7"/>
            <w:tcBorders>
              <w:top w:val="single" w:sz="12" w:space="0" w:color="000000"/>
              <w:left w:val="single" w:sz="12" w:space="0" w:color="000000"/>
              <w:bottom w:val="single" w:sz="4" w:space="0" w:color="auto"/>
              <w:right w:val="single" w:sz="12" w:space="0" w:color="000000"/>
            </w:tcBorders>
            <w:shd w:val="solid" w:color="D9D9D9" w:themeColor="background1" w:themeShade="D9" w:fill="D9D9D9" w:themeFill="background1" w:themeFillShade="D9"/>
            <w:vAlign w:val="center"/>
          </w:tcPr>
          <w:p w:rsidR="00826278" w:rsidRDefault="00910C31">
            <w:pPr>
              <w:keepNext/>
              <w:spacing w:after="0" w:line="240" w:lineRule="auto"/>
              <w:jc w:val="center"/>
              <w:rPr>
                <w:b w:val="0"/>
                <w:bCs w:val="0"/>
                <w:sz w:val="20"/>
                <w:szCs w:val="16"/>
              </w:rPr>
            </w:pPr>
            <w:r w:rsidRPr="00AB7098">
              <w:rPr>
                <w:sz w:val="20"/>
                <w:szCs w:val="16"/>
              </w:rPr>
              <w:t>DEER Updates Technology Group 5 – Commercial Refrigeration</w:t>
            </w:r>
          </w:p>
        </w:tc>
      </w:tr>
      <w:tr w:rsidR="00910C31" w:rsidRPr="00AB7098" w:rsidTr="000E34CB">
        <w:trPr>
          <w:cnfStyle w:val="100000000000"/>
          <w:cantSplit/>
          <w:trHeight w:val="206"/>
          <w:tblHeader/>
        </w:trPr>
        <w:tc>
          <w:tcPr>
            <w:tcW w:w="588" w:type="pct"/>
            <w:tcBorders>
              <w:top w:val="single" w:sz="4" w:space="0" w:color="auto"/>
              <w:left w:val="single" w:sz="12" w:space="0" w:color="000000"/>
              <w:bottom w:val="single" w:sz="12" w:space="0" w:color="000000"/>
              <w:right w:val="outset" w:sz="6" w:space="0" w:color="auto"/>
            </w:tcBorders>
            <w:shd w:val="solid" w:color="D9D9D9" w:themeColor="background1" w:themeShade="D9" w:fill="D9D9D9" w:themeFill="background1" w:themeFillShade="D9"/>
            <w:vAlign w:val="center"/>
          </w:tcPr>
          <w:p w:rsidR="00910C31" w:rsidRPr="00AB7098" w:rsidRDefault="00910C31" w:rsidP="00574ECE">
            <w:pPr>
              <w:keepNext/>
              <w:spacing w:after="0" w:line="240" w:lineRule="auto"/>
              <w:ind w:left="113" w:right="113"/>
              <w:jc w:val="left"/>
              <w:rPr>
                <w:sz w:val="20"/>
                <w:szCs w:val="20"/>
              </w:rPr>
            </w:pPr>
            <w:r w:rsidRPr="00AB7098">
              <w:rPr>
                <w:sz w:val="20"/>
                <w:szCs w:val="20"/>
              </w:rPr>
              <w:t>EEM Categories</w:t>
            </w:r>
          </w:p>
        </w:tc>
        <w:tc>
          <w:tcPr>
            <w:tcW w:w="376" w:type="pct"/>
            <w:tcBorders>
              <w:top w:val="single" w:sz="4" w:space="0" w:color="auto"/>
              <w:left w:val="outset" w:sz="6" w:space="0" w:color="auto"/>
              <w:bottom w:val="single" w:sz="12" w:space="0" w:color="000000"/>
              <w:right w:val="outset" w:sz="6" w:space="0" w:color="auto"/>
            </w:tcBorders>
            <w:shd w:val="solid" w:color="D9D9D9" w:themeColor="background1" w:themeShade="D9" w:fill="D9D9D9" w:themeFill="background1" w:themeFillShade="D9"/>
            <w:vAlign w:val="center"/>
          </w:tcPr>
          <w:p w:rsidR="00910C31" w:rsidRPr="00AB7098" w:rsidRDefault="00910C31" w:rsidP="00574ECE">
            <w:pPr>
              <w:keepNext/>
              <w:spacing w:after="0" w:line="240" w:lineRule="auto"/>
              <w:jc w:val="left"/>
              <w:rPr>
                <w:sz w:val="20"/>
                <w:szCs w:val="20"/>
              </w:rPr>
            </w:pPr>
            <w:r w:rsidRPr="00AB7098">
              <w:rPr>
                <w:sz w:val="20"/>
                <w:szCs w:val="20"/>
              </w:rPr>
              <w:t>Current NTGRs</w:t>
            </w:r>
          </w:p>
        </w:tc>
        <w:tc>
          <w:tcPr>
            <w:tcW w:w="479" w:type="pct"/>
            <w:tcBorders>
              <w:top w:val="single" w:sz="4" w:space="0" w:color="auto"/>
              <w:left w:val="outset" w:sz="6" w:space="0" w:color="auto"/>
              <w:bottom w:val="single" w:sz="12" w:space="0" w:color="000000"/>
              <w:right w:val="outset" w:sz="6" w:space="0" w:color="auto"/>
            </w:tcBorders>
            <w:shd w:val="solid" w:color="D9D9D9" w:themeColor="background1" w:themeShade="D9" w:fill="D9D9D9" w:themeFill="background1" w:themeFillShade="D9"/>
            <w:vAlign w:val="center"/>
          </w:tcPr>
          <w:p w:rsidR="00910C31" w:rsidRPr="00AB7098" w:rsidRDefault="00910C31" w:rsidP="00574ECE">
            <w:pPr>
              <w:keepNext/>
              <w:spacing w:after="0" w:line="240" w:lineRule="auto"/>
              <w:jc w:val="left"/>
              <w:rPr>
                <w:sz w:val="20"/>
                <w:szCs w:val="20"/>
              </w:rPr>
            </w:pPr>
            <w:r w:rsidRPr="00AB7098">
              <w:rPr>
                <w:sz w:val="20"/>
                <w:szCs w:val="20"/>
              </w:rPr>
              <w:t>Program Delivery Approach</w:t>
            </w:r>
          </w:p>
        </w:tc>
        <w:tc>
          <w:tcPr>
            <w:tcW w:w="683" w:type="pct"/>
            <w:tcBorders>
              <w:top w:val="single" w:sz="4" w:space="0" w:color="auto"/>
              <w:left w:val="outset" w:sz="6" w:space="0" w:color="auto"/>
              <w:bottom w:val="single" w:sz="12" w:space="0" w:color="000000"/>
              <w:right w:val="outset" w:sz="6" w:space="0" w:color="auto"/>
            </w:tcBorders>
            <w:shd w:val="solid" w:color="D9D9D9" w:themeColor="background1" w:themeShade="D9" w:fill="D9D9D9" w:themeFill="background1" w:themeFillShade="D9"/>
            <w:vAlign w:val="center"/>
          </w:tcPr>
          <w:p w:rsidR="00910C31" w:rsidRPr="00AB7098" w:rsidRDefault="00910C31" w:rsidP="00574ECE">
            <w:pPr>
              <w:keepNext/>
              <w:spacing w:after="0" w:line="240" w:lineRule="auto"/>
              <w:jc w:val="left"/>
              <w:rPr>
                <w:sz w:val="20"/>
                <w:szCs w:val="20"/>
              </w:rPr>
            </w:pPr>
            <w:r w:rsidRPr="00AB7098">
              <w:rPr>
                <w:sz w:val="20"/>
                <w:szCs w:val="20"/>
              </w:rPr>
              <w:t>Data Sources</w:t>
            </w:r>
          </w:p>
        </w:tc>
        <w:tc>
          <w:tcPr>
            <w:tcW w:w="616" w:type="pct"/>
            <w:tcBorders>
              <w:top w:val="single" w:sz="4" w:space="0" w:color="auto"/>
              <w:left w:val="outset" w:sz="6" w:space="0" w:color="auto"/>
              <w:bottom w:val="single" w:sz="12" w:space="0" w:color="000000"/>
              <w:right w:val="outset" w:sz="6" w:space="0" w:color="auto"/>
            </w:tcBorders>
            <w:shd w:val="solid" w:color="D9D9D9" w:themeColor="background1" w:themeShade="D9" w:fill="D9D9D9" w:themeFill="background1" w:themeFillShade="D9"/>
            <w:vAlign w:val="center"/>
          </w:tcPr>
          <w:p w:rsidR="00910C31" w:rsidRPr="00AB7098" w:rsidRDefault="00910C31" w:rsidP="00574ECE">
            <w:pPr>
              <w:keepNext/>
              <w:spacing w:after="0" w:line="240" w:lineRule="auto"/>
              <w:jc w:val="left"/>
              <w:rPr>
                <w:sz w:val="20"/>
                <w:szCs w:val="20"/>
              </w:rPr>
            </w:pPr>
            <w:r w:rsidRPr="00AB7098">
              <w:rPr>
                <w:sz w:val="20"/>
                <w:szCs w:val="20"/>
              </w:rPr>
              <w:t>NTGRs from Data Sources</w:t>
            </w:r>
          </w:p>
        </w:tc>
        <w:tc>
          <w:tcPr>
            <w:tcW w:w="1266" w:type="pct"/>
            <w:tcBorders>
              <w:top w:val="single" w:sz="4" w:space="0" w:color="auto"/>
              <w:left w:val="outset" w:sz="6" w:space="0" w:color="auto"/>
              <w:bottom w:val="single" w:sz="12" w:space="0" w:color="000000"/>
              <w:right w:val="outset" w:sz="6" w:space="0" w:color="auto"/>
            </w:tcBorders>
            <w:shd w:val="solid" w:color="D9D9D9" w:themeColor="background1" w:themeShade="D9" w:fill="D9D9D9" w:themeFill="background1" w:themeFillShade="D9"/>
            <w:vAlign w:val="center"/>
          </w:tcPr>
          <w:p w:rsidR="00910C31" w:rsidRPr="00AB7098" w:rsidRDefault="00910C31" w:rsidP="00574ECE">
            <w:pPr>
              <w:keepNext/>
              <w:spacing w:after="0" w:line="240" w:lineRule="auto"/>
              <w:jc w:val="left"/>
              <w:rPr>
                <w:sz w:val="20"/>
                <w:szCs w:val="20"/>
              </w:rPr>
            </w:pPr>
            <w:r w:rsidRPr="00AB7098">
              <w:rPr>
                <w:sz w:val="20"/>
                <w:szCs w:val="20"/>
              </w:rPr>
              <w:t>Methods Used in Data Sources to Estimate the NTGR Values</w:t>
            </w:r>
          </w:p>
        </w:tc>
        <w:tc>
          <w:tcPr>
            <w:tcW w:w="992" w:type="pct"/>
            <w:tcBorders>
              <w:top w:val="single" w:sz="4" w:space="0" w:color="auto"/>
              <w:left w:val="outset" w:sz="6" w:space="0" w:color="auto"/>
              <w:bottom w:val="single" w:sz="12" w:space="0" w:color="000000"/>
              <w:right w:val="single" w:sz="12" w:space="0" w:color="000000"/>
            </w:tcBorders>
            <w:shd w:val="solid" w:color="D9D9D9" w:themeColor="background1" w:themeShade="D9" w:fill="D9D9D9" w:themeFill="background1" w:themeFillShade="D9"/>
            <w:vAlign w:val="center"/>
          </w:tcPr>
          <w:p w:rsidR="00910C31" w:rsidRPr="00AB7098" w:rsidRDefault="00910C31" w:rsidP="00574ECE">
            <w:pPr>
              <w:keepNext/>
              <w:spacing w:after="0" w:line="240" w:lineRule="auto"/>
              <w:jc w:val="left"/>
              <w:rPr>
                <w:sz w:val="20"/>
                <w:szCs w:val="20"/>
              </w:rPr>
            </w:pPr>
            <w:r w:rsidRPr="00AB7098">
              <w:rPr>
                <w:sz w:val="20"/>
                <w:szCs w:val="20"/>
              </w:rPr>
              <w:t xml:space="preserve">Recommendations </w:t>
            </w:r>
            <w:r w:rsidR="002B13C1">
              <w:rPr>
                <w:sz w:val="20"/>
                <w:szCs w:val="20"/>
              </w:rPr>
              <w:t xml:space="preserve"> and </w:t>
            </w:r>
            <w:r w:rsidRPr="00AB7098">
              <w:rPr>
                <w:sz w:val="20"/>
                <w:szCs w:val="20"/>
              </w:rPr>
              <w:t>Proposed Approaches to Estimate “Forward-Looking” NTGR Values</w:t>
            </w:r>
          </w:p>
        </w:tc>
      </w:tr>
      <w:tr w:rsidR="00574ECE" w:rsidRPr="00AB7098" w:rsidTr="000E34CB">
        <w:trPr>
          <w:trHeight w:val="322"/>
        </w:trPr>
        <w:tc>
          <w:tcPr>
            <w:tcW w:w="588" w:type="pct"/>
            <w:tcBorders>
              <w:top w:val="single" w:sz="12" w:space="0" w:color="000000"/>
              <w:left w:val="single" w:sz="12" w:space="0" w:color="000000"/>
            </w:tcBorders>
            <w:vAlign w:val="center"/>
          </w:tcPr>
          <w:p w:rsidR="00574ECE" w:rsidRPr="00AB7098" w:rsidRDefault="00574ECE" w:rsidP="00574ECE">
            <w:pPr>
              <w:spacing w:after="0" w:line="240" w:lineRule="auto"/>
              <w:jc w:val="left"/>
              <w:rPr>
                <w:sz w:val="20"/>
                <w:szCs w:val="20"/>
              </w:rPr>
            </w:pPr>
            <w:r w:rsidRPr="00AB7098">
              <w:rPr>
                <w:sz w:val="20"/>
                <w:szCs w:val="20"/>
              </w:rPr>
              <w:t xml:space="preserve">Door Gasket </w:t>
            </w:r>
          </w:p>
          <w:p w:rsidR="00574ECE" w:rsidRPr="00AB7098" w:rsidRDefault="00574ECE" w:rsidP="00574ECE">
            <w:pPr>
              <w:spacing w:after="0" w:line="240" w:lineRule="auto"/>
              <w:jc w:val="left"/>
              <w:rPr>
                <w:sz w:val="20"/>
                <w:szCs w:val="20"/>
              </w:rPr>
            </w:pPr>
            <w:r w:rsidRPr="00AB7098">
              <w:rPr>
                <w:sz w:val="20"/>
                <w:szCs w:val="20"/>
              </w:rPr>
              <w:t>- Vertical &amp; Horizontal Reach-In Refrigerated Display Cases,</w:t>
            </w:r>
          </w:p>
          <w:p w:rsidR="00574ECE" w:rsidRPr="00AB7098" w:rsidRDefault="00574ECE" w:rsidP="00574ECE">
            <w:pPr>
              <w:spacing w:after="0" w:line="240" w:lineRule="auto"/>
              <w:jc w:val="left"/>
              <w:rPr>
                <w:sz w:val="20"/>
                <w:szCs w:val="20"/>
              </w:rPr>
            </w:pPr>
            <w:r w:rsidRPr="00AB7098">
              <w:rPr>
                <w:sz w:val="20"/>
                <w:szCs w:val="20"/>
              </w:rPr>
              <w:t xml:space="preserve">Walk-in Coolers &amp; Freezers </w:t>
            </w:r>
          </w:p>
          <w:p w:rsidR="00574ECE" w:rsidRPr="00AB7098" w:rsidRDefault="00574ECE" w:rsidP="00574ECE">
            <w:pPr>
              <w:spacing w:after="0" w:line="240" w:lineRule="auto"/>
              <w:jc w:val="left"/>
              <w:rPr>
                <w:sz w:val="20"/>
                <w:szCs w:val="20"/>
              </w:rPr>
            </w:pPr>
          </w:p>
        </w:tc>
        <w:tc>
          <w:tcPr>
            <w:tcW w:w="376" w:type="pct"/>
            <w:tcBorders>
              <w:top w:val="single" w:sz="12" w:space="0" w:color="000000"/>
            </w:tcBorders>
            <w:vAlign w:val="center"/>
          </w:tcPr>
          <w:p w:rsidR="00574ECE" w:rsidRPr="00AB7098" w:rsidRDefault="00574ECE" w:rsidP="00574ECE">
            <w:pPr>
              <w:spacing w:after="0" w:line="240" w:lineRule="auto"/>
              <w:jc w:val="left"/>
              <w:rPr>
                <w:sz w:val="20"/>
                <w:szCs w:val="20"/>
              </w:rPr>
            </w:pPr>
            <w:r w:rsidRPr="00AB7098">
              <w:rPr>
                <w:sz w:val="20"/>
                <w:szCs w:val="20"/>
              </w:rPr>
              <w:t>DEER 0.</w:t>
            </w:r>
            <w:r>
              <w:rPr>
                <w:sz w:val="20"/>
                <w:szCs w:val="20"/>
              </w:rPr>
              <w:t>46</w:t>
            </w:r>
          </w:p>
        </w:tc>
        <w:tc>
          <w:tcPr>
            <w:tcW w:w="479" w:type="pct"/>
            <w:tcBorders>
              <w:top w:val="single" w:sz="12" w:space="0" w:color="000000"/>
            </w:tcBorders>
            <w:vAlign w:val="center"/>
          </w:tcPr>
          <w:p w:rsidR="00574ECE" w:rsidRDefault="00574ECE" w:rsidP="00574ECE">
            <w:pPr>
              <w:spacing w:after="0" w:line="240" w:lineRule="auto"/>
              <w:jc w:val="left"/>
              <w:rPr>
                <w:sz w:val="20"/>
                <w:szCs w:val="20"/>
              </w:rPr>
            </w:pPr>
            <w:r w:rsidRPr="00AB7098">
              <w:rPr>
                <w:sz w:val="20"/>
                <w:szCs w:val="20"/>
              </w:rPr>
              <w:t xml:space="preserve">Downstream </w:t>
            </w:r>
          </w:p>
          <w:p w:rsidR="00574ECE" w:rsidRPr="00AB7098" w:rsidRDefault="00574ECE" w:rsidP="00574ECE">
            <w:pPr>
              <w:spacing w:after="0" w:line="240" w:lineRule="auto"/>
              <w:jc w:val="left"/>
              <w:rPr>
                <w:sz w:val="20"/>
                <w:szCs w:val="20"/>
              </w:rPr>
            </w:pPr>
            <w:r>
              <w:rPr>
                <w:sz w:val="20"/>
                <w:szCs w:val="20"/>
              </w:rPr>
              <w:t>Prescriptive</w:t>
            </w:r>
          </w:p>
        </w:tc>
        <w:tc>
          <w:tcPr>
            <w:tcW w:w="683" w:type="pct"/>
            <w:tcBorders>
              <w:top w:val="single" w:sz="12" w:space="0" w:color="000000"/>
            </w:tcBorders>
            <w:vAlign w:val="center"/>
          </w:tcPr>
          <w:p w:rsidR="00574ECE" w:rsidRPr="00AB7098" w:rsidRDefault="00574ECE" w:rsidP="00574ECE">
            <w:pPr>
              <w:spacing w:after="0" w:line="240" w:lineRule="auto"/>
              <w:jc w:val="left"/>
              <w:rPr>
                <w:sz w:val="20"/>
                <w:szCs w:val="20"/>
              </w:rPr>
            </w:pPr>
            <w:r w:rsidRPr="00AB7098">
              <w:rPr>
                <w:sz w:val="20"/>
                <w:szCs w:val="20"/>
              </w:rPr>
              <w:t xml:space="preserve">Commercial Facilities Contract Group 2006 – 2008 Direct Impact Evaluation Study, Volumes 1 and 3, February 18, 2010, ADM </w:t>
            </w:r>
          </w:p>
        </w:tc>
        <w:tc>
          <w:tcPr>
            <w:tcW w:w="616" w:type="pct"/>
            <w:tcBorders>
              <w:top w:val="single" w:sz="12" w:space="0" w:color="000000"/>
            </w:tcBorders>
            <w:vAlign w:val="center"/>
          </w:tcPr>
          <w:p w:rsidR="00574ECE" w:rsidRPr="00AB7098" w:rsidRDefault="00574ECE" w:rsidP="00574ECE">
            <w:pPr>
              <w:tabs>
                <w:tab w:val="left" w:pos="1151"/>
              </w:tabs>
              <w:spacing w:after="0" w:line="240" w:lineRule="auto"/>
              <w:jc w:val="left"/>
              <w:rPr>
                <w:sz w:val="20"/>
                <w:szCs w:val="20"/>
              </w:rPr>
            </w:pPr>
            <w:r w:rsidRPr="00AB7098">
              <w:rPr>
                <w:sz w:val="20"/>
                <w:szCs w:val="20"/>
              </w:rPr>
              <w:t>NTGR of 0.19</w:t>
            </w:r>
          </w:p>
          <w:p w:rsidR="00574ECE" w:rsidRPr="00AB7098" w:rsidRDefault="00574ECE" w:rsidP="00574ECE">
            <w:pPr>
              <w:tabs>
                <w:tab w:val="left" w:pos="1151"/>
              </w:tabs>
              <w:spacing w:after="0" w:line="240" w:lineRule="auto"/>
              <w:jc w:val="left"/>
              <w:rPr>
                <w:sz w:val="20"/>
                <w:szCs w:val="20"/>
              </w:rPr>
            </w:pPr>
          </w:p>
        </w:tc>
        <w:tc>
          <w:tcPr>
            <w:tcW w:w="1266" w:type="pct"/>
            <w:tcBorders>
              <w:top w:val="single" w:sz="12" w:space="0" w:color="000000"/>
            </w:tcBorders>
            <w:vAlign w:val="center"/>
          </w:tcPr>
          <w:p w:rsidR="00574ECE" w:rsidRPr="00910C31" w:rsidRDefault="00574ECE" w:rsidP="00574ECE">
            <w:pPr>
              <w:autoSpaceDE w:val="0"/>
              <w:autoSpaceDN w:val="0"/>
              <w:adjustRightInd w:val="0"/>
              <w:spacing w:after="0" w:line="240" w:lineRule="auto"/>
              <w:jc w:val="left"/>
              <w:rPr>
                <w:rFonts w:eastAsiaTheme="minorHAnsi"/>
                <w:sz w:val="20"/>
                <w:szCs w:val="20"/>
              </w:rPr>
            </w:pPr>
            <w:r w:rsidRPr="00AB7098">
              <w:rPr>
                <w:rFonts w:eastAsiaTheme="minorHAnsi"/>
                <w:sz w:val="20"/>
                <w:szCs w:val="20"/>
              </w:rPr>
              <w:t>The NTG method relied exclusively on the Self-Report Approach (SRA) using a telephone survey to estimate project and domain-level Net-to-Gross Ratios. The survey for door gaskets was a modified version of the</w:t>
            </w:r>
            <w:r>
              <w:rPr>
                <w:rFonts w:eastAsiaTheme="minorHAnsi"/>
                <w:sz w:val="20"/>
                <w:szCs w:val="20"/>
              </w:rPr>
              <w:t xml:space="preserve"> standard net-to-gross battery due to either </w:t>
            </w:r>
            <w:r w:rsidRPr="00AD0BDE">
              <w:rPr>
                <w:rFonts w:eastAsiaTheme="minorHAnsi"/>
                <w:sz w:val="20"/>
                <w:szCs w:val="20"/>
              </w:rPr>
              <w:t>maintenance contracts for door gasket replacements</w:t>
            </w:r>
            <w:r>
              <w:rPr>
                <w:rFonts w:eastAsiaTheme="minorHAnsi"/>
                <w:sz w:val="20"/>
                <w:szCs w:val="20"/>
              </w:rPr>
              <w:t>,</w:t>
            </w:r>
            <w:r w:rsidRPr="00AD0BDE">
              <w:rPr>
                <w:rFonts w:eastAsiaTheme="minorHAnsi"/>
                <w:sz w:val="20"/>
                <w:szCs w:val="20"/>
              </w:rPr>
              <w:t xml:space="preserve"> internal progr</w:t>
            </w:r>
            <w:r>
              <w:rPr>
                <w:rFonts w:eastAsiaTheme="minorHAnsi"/>
                <w:sz w:val="20"/>
                <w:szCs w:val="20"/>
              </w:rPr>
              <w:t xml:space="preserve">am for maintaining door gaskets, or door </w:t>
            </w:r>
            <w:r w:rsidRPr="00AD0BDE">
              <w:rPr>
                <w:rFonts w:eastAsiaTheme="minorHAnsi"/>
                <w:sz w:val="20"/>
                <w:szCs w:val="20"/>
              </w:rPr>
              <w:t xml:space="preserve">gaskets were provided at no charge. </w:t>
            </w:r>
            <w:r w:rsidRPr="00AB7098">
              <w:rPr>
                <w:rFonts w:eastAsiaTheme="minorHAnsi"/>
                <w:sz w:val="20"/>
                <w:szCs w:val="20"/>
              </w:rPr>
              <w:t>The net-to-gross ratio was formed by averaging the composite program summary influence score and likelihood score.</w:t>
            </w:r>
          </w:p>
        </w:tc>
        <w:tc>
          <w:tcPr>
            <w:tcW w:w="992" w:type="pct"/>
            <w:vMerge w:val="restart"/>
            <w:tcBorders>
              <w:top w:val="single" w:sz="12" w:space="0" w:color="000000"/>
              <w:right w:val="single" w:sz="12" w:space="0" w:color="000000"/>
            </w:tcBorders>
            <w:vAlign w:val="center"/>
          </w:tcPr>
          <w:p w:rsidR="00574ECE" w:rsidRDefault="00574ECE" w:rsidP="00574ECE">
            <w:pPr>
              <w:tabs>
                <w:tab w:val="decimal" w:pos="-2271"/>
                <w:tab w:val="decimal" w:pos="-1281"/>
              </w:tabs>
              <w:spacing w:after="0" w:line="240" w:lineRule="auto"/>
              <w:jc w:val="center"/>
              <w:rPr>
                <w:sz w:val="20"/>
                <w:szCs w:val="20"/>
              </w:rPr>
            </w:pPr>
            <w:r w:rsidRPr="00AB7098">
              <w:rPr>
                <w:sz w:val="20"/>
                <w:szCs w:val="20"/>
              </w:rPr>
              <w:t>Use t</w:t>
            </w:r>
            <w:r>
              <w:rPr>
                <w:sz w:val="20"/>
                <w:szCs w:val="20"/>
              </w:rPr>
              <w:t>he 0608 study results even though</w:t>
            </w:r>
            <w:r w:rsidRPr="00AB7098">
              <w:rPr>
                <w:sz w:val="20"/>
                <w:szCs w:val="20"/>
              </w:rPr>
              <w:t xml:space="preserve"> </w:t>
            </w:r>
            <w:r>
              <w:rPr>
                <w:sz w:val="20"/>
                <w:szCs w:val="20"/>
              </w:rPr>
              <w:t>The difference between the existing DEER NTGR and the 0608 represents a 27%/37% change and the review did not find any justification for or discussion on the low NTGR.  It is likely that the high free ridership may be due to the baseline issues.</w:t>
            </w:r>
          </w:p>
          <w:p w:rsidR="00574ECE" w:rsidRPr="00AB7098" w:rsidRDefault="00574ECE" w:rsidP="00574ECE">
            <w:pPr>
              <w:tabs>
                <w:tab w:val="decimal" w:pos="-2271"/>
                <w:tab w:val="decimal" w:pos="-1281"/>
              </w:tabs>
              <w:spacing w:after="0" w:line="240" w:lineRule="auto"/>
              <w:jc w:val="center"/>
              <w:rPr>
                <w:sz w:val="20"/>
                <w:szCs w:val="20"/>
              </w:rPr>
            </w:pPr>
          </w:p>
        </w:tc>
      </w:tr>
      <w:tr w:rsidR="00574ECE" w:rsidRPr="00AB7098" w:rsidTr="000E34CB">
        <w:trPr>
          <w:trHeight w:val="322"/>
        </w:trPr>
        <w:tc>
          <w:tcPr>
            <w:tcW w:w="588" w:type="pct"/>
            <w:tcBorders>
              <w:left w:val="single" w:sz="12" w:space="0" w:color="000000"/>
              <w:bottom w:val="single" w:sz="12" w:space="0" w:color="000000"/>
            </w:tcBorders>
            <w:vAlign w:val="center"/>
          </w:tcPr>
          <w:p w:rsidR="00574ECE" w:rsidRPr="00AB7098" w:rsidRDefault="00574ECE" w:rsidP="00574ECE">
            <w:pPr>
              <w:spacing w:after="0" w:line="240" w:lineRule="auto"/>
              <w:jc w:val="left"/>
              <w:rPr>
                <w:sz w:val="20"/>
                <w:szCs w:val="20"/>
              </w:rPr>
            </w:pPr>
            <w:bookmarkStart w:id="1" w:name="OLE_LINK1"/>
            <w:r w:rsidRPr="00AB7098">
              <w:rPr>
                <w:sz w:val="20"/>
                <w:szCs w:val="20"/>
              </w:rPr>
              <w:t>Strip Door Curtains</w:t>
            </w:r>
            <w:bookmarkEnd w:id="1"/>
          </w:p>
        </w:tc>
        <w:tc>
          <w:tcPr>
            <w:tcW w:w="376" w:type="pct"/>
            <w:tcBorders>
              <w:bottom w:val="single" w:sz="12" w:space="0" w:color="000000"/>
            </w:tcBorders>
            <w:vAlign w:val="center"/>
          </w:tcPr>
          <w:p w:rsidR="00574ECE" w:rsidRPr="00AB7098" w:rsidRDefault="00574ECE" w:rsidP="00574ECE">
            <w:pPr>
              <w:spacing w:after="0" w:line="240" w:lineRule="auto"/>
              <w:jc w:val="left"/>
              <w:rPr>
                <w:sz w:val="20"/>
                <w:szCs w:val="20"/>
              </w:rPr>
            </w:pPr>
            <w:r>
              <w:rPr>
                <w:sz w:val="20"/>
                <w:szCs w:val="20"/>
              </w:rPr>
              <w:t>DEER 0.7</w:t>
            </w:r>
            <w:r w:rsidRPr="00AB7098">
              <w:rPr>
                <w:sz w:val="20"/>
                <w:szCs w:val="20"/>
              </w:rPr>
              <w:t>6</w:t>
            </w:r>
          </w:p>
        </w:tc>
        <w:tc>
          <w:tcPr>
            <w:tcW w:w="479" w:type="pct"/>
            <w:tcBorders>
              <w:bottom w:val="single" w:sz="12" w:space="0" w:color="000000"/>
            </w:tcBorders>
            <w:vAlign w:val="center"/>
          </w:tcPr>
          <w:p w:rsidR="00574ECE" w:rsidRDefault="00574ECE" w:rsidP="00574ECE">
            <w:pPr>
              <w:spacing w:after="0" w:line="240" w:lineRule="auto"/>
              <w:jc w:val="left"/>
              <w:rPr>
                <w:sz w:val="20"/>
                <w:szCs w:val="20"/>
              </w:rPr>
            </w:pPr>
            <w:r w:rsidRPr="00AB7098">
              <w:rPr>
                <w:sz w:val="20"/>
                <w:szCs w:val="20"/>
              </w:rPr>
              <w:t>Downstream</w:t>
            </w:r>
          </w:p>
          <w:p w:rsidR="00574ECE" w:rsidRPr="00AB7098" w:rsidRDefault="00574ECE" w:rsidP="00574ECE">
            <w:pPr>
              <w:spacing w:after="0" w:line="240" w:lineRule="auto"/>
              <w:jc w:val="left"/>
              <w:rPr>
                <w:sz w:val="20"/>
                <w:szCs w:val="20"/>
              </w:rPr>
            </w:pPr>
            <w:r>
              <w:rPr>
                <w:sz w:val="20"/>
                <w:szCs w:val="20"/>
              </w:rPr>
              <w:t>Prescriptive</w:t>
            </w:r>
            <w:r w:rsidRPr="00AB7098">
              <w:rPr>
                <w:sz w:val="20"/>
                <w:szCs w:val="20"/>
              </w:rPr>
              <w:t xml:space="preserve"> </w:t>
            </w:r>
          </w:p>
        </w:tc>
        <w:tc>
          <w:tcPr>
            <w:tcW w:w="683" w:type="pct"/>
            <w:tcBorders>
              <w:bottom w:val="single" w:sz="12" w:space="0" w:color="000000"/>
            </w:tcBorders>
            <w:vAlign w:val="center"/>
          </w:tcPr>
          <w:p w:rsidR="00574ECE" w:rsidRPr="00AB7098" w:rsidRDefault="00574ECE" w:rsidP="00574ECE">
            <w:pPr>
              <w:spacing w:after="0" w:line="240" w:lineRule="auto"/>
              <w:jc w:val="left"/>
              <w:rPr>
                <w:sz w:val="20"/>
                <w:szCs w:val="20"/>
              </w:rPr>
            </w:pPr>
            <w:r w:rsidRPr="00AB7098">
              <w:rPr>
                <w:sz w:val="20"/>
                <w:szCs w:val="20"/>
              </w:rPr>
              <w:t xml:space="preserve">Commercial Facilities Contract Group 2006 – 2008 Direct Impact Evaluation Study, Volumes 1 and 3, February 18, 2010, ADM </w:t>
            </w:r>
          </w:p>
        </w:tc>
        <w:tc>
          <w:tcPr>
            <w:tcW w:w="616" w:type="pct"/>
            <w:tcBorders>
              <w:bottom w:val="single" w:sz="12" w:space="0" w:color="000000"/>
            </w:tcBorders>
            <w:vAlign w:val="center"/>
          </w:tcPr>
          <w:p w:rsidR="00574ECE" w:rsidRPr="00AB7098" w:rsidRDefault="00574ECE" w:rsidP="00574ECE">
            <w:pPr>
              <w:tabs>
                <w:tab w:val="left" w:pos="1151"/>
              </w:tabs>
              <w:spacing w:after="0" w:line="240" w:lineRule="auto"/>
              <w:jc w:val="left"/>
              <w:rPr>
                <w:sz w:val="20"/>
                <w:szCs w:val="20"/>
              </w:rPr>
            </w:pPr>
            <w:r>
              <w:rPr>
                <w:sz w:val="20"/>
                <w:szCs w:val="20"/>
              </w:rPr>
              <w:t>NTGR of 0.40</w:t>
            </w:r>
          </w:p>
          <w:p w:rsidR="00574ECE" w:rsidRPr="00AB7098" w:rsidRDefault="00574ECE" w:rsidP="00574ECE">
            <w:pPr>
              <w:tabs>
                <w:tab w:val="left" w:pos="1151"/>
              </w:tabs>
              <w:spacing w:after="0" w:line="240" w:lineRule="auto"/>
              <w:jc w:val="left"/>
              <w:rPr>
                <w:sz w:val="20"/>
                <w:szCs w:val="20"/>
              </w:rPr>
            </w:pPr>
          </w:p>
        </w:tc>
        <w:tc>
          <w:tcPr>
            <w:tcW w:w="1266" w:type="pct"/>
            <w:tcBorders>
              <w:bottom w:val="single" w:sz="12" w:space="0" w:color="000000"/>
            </w:tcBorders>
            <w:vAlign w:val="center"/>
          </w:tcPr>
          <w:p w:rsidR="00574ECE" w:rsidRDefault="00574ECE" w:rsidP="00574ECE">
            <w:pPr>
              <w:autoSpaceDE w:val="0"/>
              <w:autoSpaceDN w:val="0"/>
              <w:adjustRightInd w:val="0"/>
              <w:spacing w:after="0" w:line="240" w:lineRule="auto"/>
              <w:jc w:val="left"/>
              <w:rPr>
                <w:rFonts w:eastAsiaTheme="minorHAnsi"/>
                <w:sz w:val="20"/>
                <w:szCs w:val="20"/>
              </w:rPr>
            </w:pPr>
            <w:r w:rsidRPr="00AB7098">
              <w:rPr>
                <w:rFonts w:eastAsiaTheme="minorHAnsi"/>
                <w:sz w:val="20"/>
                <w:szCs w:val="20"/>
              </w:rPr>
              <w:t xml:space="preserve">The NTG method relied exclusively on the Self-Report Approach (SRA) using a telephone survey to estimate project and domain-level Net-to-Gross Ratios. The survey for </w:t>
            </w:r>
            <w:r>
              <w:rPr>
                <w:rFonts w:eastAsiaTheme="minorHAnsi"/>
                <w:sz w:val="20"/>
                <w:szCs w:val="20"/>
              </w:rPr>
              <w:t>strip curtains</w:t>
            </w:r>
            <w:r w:rsidRPr="00AB7098">
              <w:rPr>
                <w:rFonts w:eastAsiaTheme="minorHAnsi"/>
                <w:sz w:val="20"/>
                <w:szCs w:val="20"/>
              </w:rPr>
              <w:t xml:space="preserve"> was a modified version of the standard net-to-gross battery. </w:t>
            </w:r>
            <w:proofErr w:type="gramStart"/>
            <w:r>
              <w:rPr>
                <w:rFonts w:eastAsiaTheme="minorHAnsi"/>
                <w:sz w:val="20"/>
                <w:szCs w:val="20"/>
              </w:rPr>
              <w:t>due</w:t>
            </w:r>
            <w:proofErr w:type="gramEnd"/>
            <w:r>
              <w:rPr>
                <w:rFonts w:eastAsiaTheme="minorHAnsi"/>
                <w:sz w:val="20"/>
                <w:szCs w:val="20"/>
              </w:rPr>
              <w:t xml:space="preserve"> to either </w:t>
            </w:r>
            <w:r w:rsidRPr="00AD0BDE">
              <w:rPr>
                <w:rFonts w:eastAsiaTheme="minorHAnsi"/>
                <w:sz w:val="20"/>
                <w:szCs w:val="20"/>
              </w:rPr>
              <w:t>maintenance contracts for door gasket replacements</w:t>
            </w:r>
            <w:r>
              <w:rPr>
                <w:rFonts w:eastAsiaTheme="minorHAnsi"/>
                <w:sz w:val="20"/>
                <w:szCs w:val="20"/>
              </w:rPr>
              <w:t>,</w:t>
            </w:r>
            <w:r w:rsidRPr="00AD0BDE">
              <w:rPr>
                <w:rFonts w:eastAsiaTheme="minorHAnsi"/>
                <w:sz w:val="20"/>
                <w:szCs w:val="20"/>
              </w:rPr>
              <w:t xml:space="preserve"> internal progr</w:t>
            </w:r>
            <w:r>
              <w:rPr>
                <w:rFonts w:eastAsiaTheme="minorHAnsi"/>
                <w:sz w:val="20"/>
                <w:szCs w:val="20"/>
              </w:rPr>
              <w:t xml:space="preserve">am for maintaining door gaskets, or door </w:t>
            </w:r>
            <w:r w:rsidRPr="00AD0BDE">
              <w:rPr>
                <w:rFonts w:eastAsiaTheme="minorHAnsi"/>
                <w:sz w:val="20"/>
                <w:szCs w:val="20"/>
              </w:rPr>
              <w:lastRenderedPageBreak/>
              <w:t xml:space="preserve">gaskets were provided at no charge. </w:t>
            </w:r>
          </w:p>
          <w:p w:rsidR="00574ECE" w:rsidRPr="00AB7098" w:rsidRDefault="00574ECE" w:rsidP="00D4185E">
            <w:pPr>
              <w:autoSpaceDE w:val="0"/>
              <w:autoSpaceDN w:val="0"/>
              <w:adjustRightInd w:val="0"/>
              <w:spacing w:after="0" w:line="240" w:lineRule="auto"/>
              <w:jc w:val="left"/>
              <w:rPr>
                <w:sz w:val="20"/>
                <w:szCs w:val="20"/>
              </w:rPr>
            </w:pPr>
            <w:r w:rsidRPr="00AB7098">
              <w:rPr>
                <w:rFonts w:eastAsiaTheme="minorHAnsi"/>
                <w:sz w:val="20"/>
                <w:szCs w:val="20"/>
              </w:rPr>
              <w:t>The net-to-gross ratio was formed by averaging the composite program summary influence score and likelihood score.</w:t>
            </w:r>
          </w:p>
        </w:tc>
        <w:tc>
          <w:tcPr>
            <w:tcW w:w="992" w:type="pct"/>
            <w:vMerge/>
            <w:tcBorders>
              <w:bottom w:val="single" w:sz="12" w:space="0" w:color="000000"/>
              <w:right w:val="single" w:sz="12" w:space="0" w:color="000000"/>
            </w:tcBorders>
          </w:tcPr>
          <w:p w:rsidR="00574ECE" w:rsidRPr="00AB7098" w:rsidRDefault="00574ECE" w:rsidP="00574ECE">
            <w:pPr>
              <w:spacing w:after="0" w:line="240" w:lineRule="auto"/>
              <w:jc w:val="left"/>
              <w:rPr>
                <w:sz w:val="20"/>
                <w:szCs w:val="20"/>
              </w:rPr>
            </w:pPr>
          </w:p>
        </w:tc>
      </w:tr>
    </w:tbl>
    <w:p w:rsidR="00910C31" w:rsidRDefault="00910C31" w:rsidP="002B13C1">
      <w:pPr>
        <w:rPr>
          <w:rFonts w:eastAsiaTheme="minorHAnsi"/>
        </w:rPr>
      </w:pPr>
    </w:p>
    <w:p w:rsidR="00DB1B68" w:rsidRDefault="00476891" w:rsidP="00476891">
      <w:pPr>
        <w:pStyle w:val="Caption"/>
        <w:rPr>
          <w:rFonts w:eastAsiaTheme="minorHAnsi"/>
        </w:rPr>
      </w:pPr>
      <w:r>
        <w:t>Table A-4-</w:t>
      </w:r>
      <w:fldSimple w:instr=" SEQ Table \* ARABIC \s 1 ">
        <w:r>
          <w:rPr>
            <w:noProof/>
          </w:rPr>
          <w:t>2</w:t>
        </w:r>
      </w:fldSimple>
      <w:r>
        <w:t xml:space="preserve">: </w:t>
      </w:r>
      <w:r w:rsidR="00A41A22">
        <w:rPr>
          <w:rFonts w:eastAsiaTheme="minorHAnsi"/>
        </w:rPr>
        <w:t>2009-</w:t>
      </w:r>
      <w:r>
        <w:rPr>
          <w:rFonts w:eastAsiaTheme="minorHAnsi"/>
        </w:rPr>
        <w:t>20</w:t>
      </w:r>
      <w:r w:rsidR="00A41A22">
        <w:rPr>
          <w:rFonts w:eastAsiaTheme="minorHAnsi"/>
        </w:rPr>
        <w:t xml:space="preserve">11 Q2 </w:t>
      </w:r>
      <w:r>
        <w:rPr>
          <w:rFonts w:eastAsiaTheme="minorHAnsi"/>
        </w:rPr>
        <w:t>T</w:t>
      </w:r>
      <w:r w:rsidR="00A41A22">
        <w:rPr>
          <w:rFonts w:eastAsiaTheme="minorHAnsi"/>
        </w:rPr>
        <w:t xml:space="preserve">racking </w:t>
      </w:r>
      <w:r>
        <w:rPr>
          <w:rFonts w:eastAsiaTheme="minorHAnsi"/>
        </w:rPr>
        <w:t>D</w:t>
      </w:r>
      <w:r w:rsidR="00A41A22">
        <w:rPr>
          <w:rFonts w:eastAsiaTheme="minorHAnsi"/>
        </w:rPr>
        <w:t>ata</w:t>
      </w:r>
    </w:p>
    <w:tbl>
      <w:tblPr>
        <w:tblW w:w="13610" w:type="dxa"/>
        <w:tblInd w:w="88" w:type="dxa"/>
        <w:tblLayout w:type="fixed"/>
        <w:tblLook w:val="04A0"/>
      </w:tblPr>
      <w:tblGrid>
        <w:gridCol w:w="1190"/>
        <w:gridCol w:w="1530"/>
        <w:gridCol w:w="720"/>
        <w:gridCol w:w="720"/>
        <w:gridCol w:w="720"/>
        <w:gridCol w:w="810"/>
        <w:gridCol w:w="720"/>
        <w:gridCol w:w="720"/>
        <w:gridCol w:w="726"/>
        <w:gridCol w:w="714"/>
        <w:gridCol w:w="810"/>
        <w:gridCol w:w="720"/>
        <w:gridCol w:w="720"/>
        <w:gridCol w:w="630"/>
        <w:gridCol w:w="630"/>
        <w:gridCol w:w="810"/>
        <w:gridCol w:w="720"/>
      </w:tblGrid>
      <w:tr w:rsidR="00DB1B68" w:rsidRPr="00D4185E" w:rsidTr="00D4185E">
        <w:trPr>
          <w:trHeight w:val="330"/>
        </w:trPr>
        <w:tc>
          <w:tcPr>
            <w:tcW w:w="1190" w:type="dxa"/>
            <w:tcBorders>
              <w:top w:val="single" w:sz="12" w:space="0" w:color="auto"/>
              <w:left w:val="single" w:sz="12" w:space="0" w:color="auto"/>
              <w:bottom w:val="single" w:sz="8" w:space="0" w:color="auto"/>
              <w:right w:val="single" w:sz="4" w:space="0" w:color="auto"/>
            </w:tcBorders>
            <w:shd w:val="clear" w:color="auto" w:fill="auto"/>
            <w:noWrap/>
            <w:vAlign w:val="bottom"/>
            <w:hideMark/>
          </w:tcPr>
          <w:p w:rsidR="00DB1B68" w:rsidRPr="00D4185E" w:rsidRDefault="00DB1B68" w:rsidP="00DB1B68">
            <w:pPr>
              <w:spacing w:after="0" w:line="240" w:lineRule="auto"/>
              <w:jc w:val="left"/>
              <w:rPr>
                <w:b/>
                <w:bCs/>
                <w:sz w:val="20"/>
                <w:szCs w:val="20"/>
              </w:rPr>
            </w:pPr>
          </w:p>
        </w:tc>
        <w:tc>
          <w:tcPr>
            <w:tcW w:w="1530" w:type="dxa"/>
            <w:tcBorders>
              <w:top w:val="single" w:sz="12" w:space="0" w:color="auto"/>
              <w:left w:val="single" w:sz="4" w:space="0" w:color="auto"/>
              <w:bottom w:val="single" w:sz="8" w:space="0" w:color="auto"/>
              <w:right w:val="single" w:sz="12" w:space="0" w:color="auto"/>
            </w:tcBorders>
            <w:shd w:val="clear" w:color="auto" w:fill="auto"/>
            <w:noWrap/>
            <w:vAlign w:val="bottom"/>
            <w:hideMark/>
          </w:tcPr>
          <w:p w:rsidR="00DB1B68" w:rsidRPr="00D4185E" w:rsidRDefault="00DB1B68" w:rsidP="00DB1B68">
            <w:pPr>
              <w:spacing w:after="0" w:line="240" w:lineRule="auto"/>
              <w:jc w:val="left"/>
              <w:rPr>
                <w:b/>
                <w:bCs/>
                <w:i/>
                <w:iCs/>
                <w:color w:val="000000"/>
                <w:sz w:val="20"/>
                <w:szCs w:val="20"/>
              </w:rPr>
            </w:pPr>
          </w:p>
        </w:tc>
        <w:tc>
          <w:tcPr>
            <w:tcW w:w="720" w:type="dxa"/>
            <w:tcBorders>
              <w:top w:val="single" w:sz="12" w:space="0" w:color="auto"/>
              <w:left w:val="nil"/>
              <w:bottom w:val="nil"/>
              <w:right w:val="nil"/>
            </w:tcBorders>
            <w:shd w:val="clear" w:color="auto" w:fill="auto"/>
            <w:noWrap/>
            <w:vAlign w:val="bottom"/>
            <w:hideMark/>
          </w:tcPr>
          <w:p w:rsidR="00DB1B68" w:rsidRPr="00D4185E" w:rsidRDefault="00DB1B68" w:rsidP="00DB1B68">
            <w:pPr>
              <w:spacing w:after="0" w:line="240" w:lineRule="auto"/>
              <w:jc w:val="left"/>
              <w:rPr>
                <w:color w:val="000000"/>
                <w:sz w:val="20"/>
                <w:szCs w:val="20"/>
              </w:rPr>
            </w:pPr>
            <w:r w:rsidRPr="00D4185E">
              <w:rPr>
                <w:color w:val="000000"/>
                <w:sz w:val="20"/>
                <w:szCs w:val="20"/>
              </w:rPr>
              <w:t> </w:t>
            </w:r>
          </w:p>
        </w:tc>
        <w:tc>
          <w:tcPr>
            <w:tcW w:w="10170" w:type="dxa"/>
            <w:gridSpan w:val="14"/>
            <w:tcBorders>
              <w:top w:val="single" w:sz="12" w:space="0" w:color="auto"/>
              <w:left w:val="nil"/>
              <w:bottom w:val="nil"/>
              <w:right w:val="single" w:sz="12" w:space="0" w:color="auto"/>
            </w:tcBorders>
            <w:shd w:val="clear" w:color="auto" w:fill="auto"/>
            <w:noWrap/>
            <w:vAlign w:val="bottom"/>
            <w:hideMark/>
          </w:tcPr>
          <w:p w:rsidR="00DB1B68" w:rsidRPr="00D4185E" w:rsidRDefault="00DB1B68" w:rsidP="00DB1B68">
            <w:pPr>
              <w:spacing w:after="0" w:line="240" w:lineRule="auto"/>
              <w:jc w:val="center"/>
              <w:rPr>
                <w:b/>
                <w:bCs/>
                <w:i/>
                <w:iCs/>
                <w:color w:val="000000"/>
                <w:sz w:val="20"/>
                <w:szCs w:val="20"/>
              </w:rPr>
            </w:pPr>
            <w:r w:rsidRPr="00D4185E">
              <w:rPr>
                <w:b/>
                <w:bCs/>
                <w:i/>
                <w:iCs/>
                <w:color w:val="000000"/>
                <w:sz w:val="20"/>
                <w:szCs w:val="20"/>
              </w:rPr>
              <w:t>Actual Contribution to IOU Portfolio Savings</w:t>
            </w:r>
          </w:p>
        </w:tc>
      </w:tr>
      <w:tr w:rsidR="00DB1B68" w:rsidRPr="00D4185E" w:rsidTr="00D4185E">
        <w:trPr>
          <w:trHeight w:val="300"/>
        </w:trPr>
        <w:tc>
          <w:tcPr>
            <w:tcW w:w="1190" w:type="dxa"/>
            <w:tcBorders>
              <w:top w:val="nil"/>
              <w:left w:val="single" w:sz="12" w:space="0" w:color="auto"/>
              <w:bottom w:val="nil"/>
              <w:right w:val="single" w:sz="4" w:space="0" w:color="auto"/>
            </w:tcBorders>
            <w:shd w:val="clear" w:color="auto" w:fill="auto"/>
            <w:noWrap/>
            <w:vAlign w:val="bottom"/>
            <w:hideMark/>
          </w:tcPr>
          <w:p w:rsidR="00DB1B68" w:rsidRPr="00D4185E" w:rsidRDefault="00DB1B68" w:rsidP="00DB1B68">
            <w:pPr>
              <w:spacing w:after="0" w:line="240" w:lineRule="auto"/>
              <w:jc w:val="left"/>
              <w:rPr>
                <w:sz w:val="20"/>
                <w:szCs w:val="20"/>
              </w:rPr>
            </w:pPr>
            <w:r w:rsidRPr="00D4185E">
              <w:rPr>
                <w:sz w:val="20"/>
                <w:szCs w:val="20"/>
              </w:rPr>
              <w:t> </w:t>
            </w:r>
          </w:p>
        </w:tc>
        <w:tc>
          <w:tcPr>
            <w:tcW w:w="1530" w:type="dxa"/>
            <w:tcBorders>
              <w:top w:val="nil"/>
              <w:left w:val="single" w:sz="4" w:space="0" w:color="auto"/>
              <w:bottom w:val="nil"/>
              <w:right w:val="single" w:sz="12" w:space="0" w:color="auto"/>
            </w:tcBorders>
            <w:shd w:val="clear" w:color="auto" w:fill="auto"/>
            <w:noWrap/>
            <w:vAlign w:val="bottom"/>
            <w:hideMark/>
          </w:tcPr>
          <w:p w:rsidR="00DB1B68" w:rsidRPr="00D4185E" w:rsidRDefault="00DB1B68" w:rsidP="00DB1B68">
            <w:pPr>
              <w:spacing w:after="0" w:line="240" w:lineRule="auto"/>
              <w:jc w:val="left"/>
              <w:rPr>
                <w:color w:val="000000"/>
                <w:sz w:val="20"/>
                <w:szCs w:val="20"/>
              </w:rPr>
            </w:pPr>
            <w:r w:rsidRPr="00D4185E">
              <w:rPr>
                <w:color w:val="000000"/>
                <w:sz w:val="20"/>
                <w:szCs w:val="20"/>
              </w:rPr>
              <w:t> </w:t>
            </w:r>
          </w:p>
        </w:tc>
        <w:tc>
          <w:tcPr>
            <w:tcW w:w="3690" w:type="dxa"/>
            <w:gridSpan w:val="5"/>
            <w:tcBorders>
              <w:top w:val="single" w:sz="8" w:space="0" w:color="auto"/>
              <w:left w:val="nil"/>
              <w:bottom w:val="single" w:sz="4" w:space="0" w:color="auto"/>
              <w:right w:val="single" w:sz="12" w:space="0" w:color="auto"/>
            </w:tcBorders>
            <w:shd w:val="clear" w:color="auto" w:fill="auto"/>
            <w:noWrap/>
            <w:vAlign w:val="bottom"/>
            <w:hideMark/>
          </w:tcPr>
          <w:p w:rsidR="00DB1B68" w:rsidRPr="00D4185E" w:rsidRDefault="00DB1B68" w:rsidP="00DB1B68">
            <w:pPr>
              <w:spacing w:after="0" w:line="240" w:lineRule="auto"/>
              <w:jc w:val="center"/>
              <w:rPr>
                <w:b/>
                <w:bCs/>
                <w:color w:val="000000"/>
                <w:sz w:val="20"/>
                <w:szCs w:val="20"/>
              </w:rPr>
            </w:pPr>
            <w:r w:rsidRPr="00D4185E">
              <w:rPr>
                <w:b/>
                <w:bCs/>
                <w:color w:val="000000"/>
                <w:sz w:val="20"/>
                <w:szCs w:val="20"/>
              </w:rPr>
              <w:t>kWh Savings</w:t>
            </w:r>
          </w:p>
        </w:tc>
        <w:tc>
          <w:tcPr>
            <w:tcW w:w="3690" w:type="dxa"/>
            <w:gridSpan w:val="5"/>
            <w:tcBorders>
              <w:top w:val="single" w:sz="8" w:space="0" w:color="auto"/>
              <w:left w:val="single" w:sz="12" w:space="0" w:color="auto"/>
              <w:bottom w:val="single" w:sz="4" w:space="0" w:color="auto"/>
              <w:right w:val="single" w:sz="12" w:space="0" w:color="auto"/>
            </w:tcBorders>
            <w:shd w:val="clear" w:color="auto" w:fill="auto"/>
            <w:noWrap/>
            <w:vAlign w:val="bottom"/>
            <w:hideMark/>
          </w:tcPr>
          <w:p w:rsidR="00DB1B68" w:rsidRPr="00D4185E" w:rsidRDefault="00DB1B68" w:rsidP="00DB1B68">
            <w:pPr>
              <w:spacing w:after="0" w:line="240" w:lineRule="auto"/>
              <w:jc w:val="center"/>
              <w:rPr>
                <w:b/>
                <w:bCs/>
                <w:color w:val="000000"/>
                <w:sz w:val="20"/>
                <w:szCs w:val="20"/>
              </w:rPr>
            </w:pPr>
            <w:r w:rsidRPr="00D4185E">
              <w:rPr>
                <w:b/>
                <w:bCs/>
                <w:color w:val="000000"/>
                <w:sz w:val="20"/>
                <w:szCs w:val="20"/>
              </w:rPr>
              <w:t>kW Savings</w:t>
            </w:r>
          </w:p>
        </w:tc>
        <w:tc>
          <w:tcPr>
            <w:tcW w:w="3510" w:type="dxa"/>
            <w:gridSpan w:val="5"/>
            <w:tcBorders>
              <w:top w:val="single" w:sz="12" w:space="0" w:color="auto"/>
              <w:left w:val="single" w:sz="12" w:space="0" w:color="auto"/>
              <w:bottom w:val="single" w:sz="4" w:space="0" w:color="auto"/>
              <w:right w:val="single" w:sz="12" w:space="0" w:color="auto"/>
            </w:tcBorders>
            <w:shd w:val="clear" w:color="auto" w:fill="auto"/>
            <w:noWrap/>
            <w:vAlign w:val="bottom"/>
            <w:hideMark/>
          </w:tcPr>
          <w:p w:rsidR="00DB1B68" w:rsidRPr="00D4185E" w:rsidRDefault="00DB1B68" w:rsidP="00DB1B68">
            <w:pPr>
              <w:spacing w:after="0" w:line="240" w:lineRule="auto"/>
              <w:jc w:val="center"/>
              <w:rPr>
                <w:b/>
                <w:bCs/>
                <w:color w:val="000000"/>
                <w:sz w:val="20"/>
                <w:szCs w:val="20"/>
              </w:rPr>
            </w:pPr>
            <w:proofErr w:type="spellStart"/>
            <w:r w:rsidRPr="00D4185E">
              <w:rPr>
                <w:b/>
                <w:bCs/>
                <w:color w:val="000000"/>
                <w:sz w:val="20"/>
                <w:szCs w:val="20"/>
              </w:rPr>
              <w:t>Therm</w:t>
            </w:r>
            <w:proofErr w:type="spellEnd"/>
            <w:r w:rsidRPr="00D4185E">
              <w:rPr>
                <w:b/>
                <w:bCs/>
                <w:color w:val="000000"/>
                <w:sz w:val="20"/>
                <w:szCs w:val="20"/>
              </w:rPr>
              <w:t xml:space="preserve"> Savings</w:t>
            </w:r>
          </w:p>
        </w:tc>
      </w:tr>
      <w:tr w:rsidR="00D4185E" w:rsidRPr="00D4185E" w:rsidTr="00D4185E">
        <w:trPr>
          <w:trHeight w:val="315"/>
        </w:trPr>
        <w:tc>
          <w:tcPr>
            <w:tcW w:w="1190" w:type="dxa"/>
            <w:tcBorders>
              <w:top w:val="nil"/>
              <w:left w:val="single" w:sz="12" w:space="0" w:color="auto"/>
              <w:bottom w:val="single" w:sz="12" w:space="0" w:color="auto"/>
              <w:right w:val="single" w:sz="4" w:space="0" w:color="auto"/>
            </w:tcBorders>
            <w:shd w:val="clear" w:color="auto" w:fill="auto"/>
            <w:vAlign w:val="bottom"/>
            <w:hideMark/>
          </w:tcPr>
          <w:p w:rsidR="00DB1B68" w:rsidRPr="00D4185E" w:rsidRDefault="00DB1B68" w:rsidP="00DB1B68">
            <w:pPr>
              <w:spacing w:after="0" w:line="240" w:lineRule="auto"/>
              <w:jc w:val="left"/>
              <w:rPr>
                <w:b/>
                <w:bCs/>
                <w:color w:val="000000"/>
                <w:sz w:val="20"/>
                <w:szCs w:val="20"/>
              </w:rPr>
            </w:pPr>
            <w:r w:rsidRPr="00D4185E">
              <w:rPr>
                <w:b/>
                <w:bCs/>
                <w:color w:val="000000"/>
                <w:sz w:val="20"/>
                <w:szCs w:val="20"/>
              </w:rPr>
              <w:t>Sector</w:t>
            </w:r>
          </w:p>
        </w:tc>
        <w:tc>
          <w:tcPr>
            <w:tcW w:w="1530" w:type="dxa"/>
            <w:tcBorders>
              <w:top w:val="nil"/>
              <w:left w:val="single" w:sz="4" w:space="0" w:color="auto"/>
              <w:bottom w:val="single" w:sz="12" w:space="0" w:color="auto"/>
              <w:right w:val="single" w:sz="12" w:space="0" w:color="auto"/>
            </w:tcBorders>
            <w:shd w:val="clear" w:color="auto" w:fill="auto"/>
            <w:vAlign w:val="bottom"/>
            <w:hideMark/>
          </w:tcPr>
          <w:p w:rsidR="00DB1B68" w:rsidRPr="00D4185E" w:rsidRDefault="00DB1B68" w:rsidP="00DB1B68">
            <w:pPr>
              <w:spacing w:after="0" w:line="240" w:lineRule="auto"/>
              <w:jc w:val="left"/>
              <w:rPr>
                <w:b/>
                <w:bCs/>
                <w:color w:val="000000"/>
                <w:sz w:val="20"/>
                <w:szCs w:val="20"/>
              </w:rPr>
            </w:pPr>
            <w:proofErr w:type="spellStart"/>
            <w:r w:rsidRPr="00D4185E">
              <w:rPr>
                <w:b/>
                <w:bCs/>
                <w:color w:val="000000"/>
                <w:sz w:val="20"/>
                <w:szCs w:val="20"/>
              </w:rPr>
              <w:t>EDMeaGroup</w:t>
            </w:r>
            <w:proofErr w:type="spellEnd"/>
          </w:p>
        </w:tc>
        <w:tc>
          <w:tcPr>
            <w:tcW w:w="720" w:type="dxa"/>
            <w:tcBorders>
              <w:top w:val="single" w:sz="4" w:space="0" w:color="auto"/>
              <w:left w:val="nil"/>
              <w:bottom w:val="single" w:sz="4" w:space="0" w:color="auto"/>
              <w:right w:val="single" w:sz="4" w:space="0" w:color="auto"/>
            </w:tcBorders>
            <w:shd w:val="clear" w:color="auto" w:fill="auto"/>
            <w:vAlign w:val="bottom"/>
            <w:hideMark/>
          </w:tcPr>
          <w:p w:rsidR="00DB1B68" w:rsidRPr="00D4185E" w:rsidRDefault="00DB1B68" w:rsidP="00D4185E">
            <w:pPr>
              <w:spacing w:after="0" w:line="240" w:lineRule="auto"/>
              <w:jc w:val="center"/>
              <w:rPr>
                <w:color w:val="000000"/>
                <w:sz w:val="20"/>
                <w:szCs w:val="20"/>
              </w:rPr>
            </w:pPr>
            <w:r w:rsidRPr="00D4185E">
              <w:rPr>
                <w:color w:val="000000"/>
                <w:sz w:val="20"/>
                <w:szCs w:val="20"/>
              </w:rPr>
              <w:t>SW</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B1B68" w:rsidRPr="00D4185E" w:rsidRDefault="00DB1B68" w:rsidP="00D4185E">
            <w:pPr>
              <w:spacing w:after="0" w:line="240" w:lineRule="auto"/>
              <w:jc w:val="center"/>
              <w:rPr>
                <w:color w:val="000000"/>
                <w:sz w:val="20"/>
                <w:szCs w:val="20"/>
              </w:rPr>
            </w:pPr>
            <w:r w:rsidRPr="00D4185E">
              <w:rPr>
                <w:color w:val="000000"/>
                <w:sz w:val="20"/>
                <w:szCs w:val="20"/>
              </w:rPr>
              <w:t>PGE</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B1B68" w:rsidRPr="00D4185E" w:rsidRDefault="00DB1B68" w:rsidP="00D4185E">
            <w:pPr>
              <w:spacing w:after="0" w:line="240" w:lineRule="auto"/>
              <w:jc w:val="center"/>
              <w:rPr>
                <w:color w:val="000000"/>
                <w:sz w:val="20"/>
                <w:szCs w:val="20"/>
              </w:rPr>
            </w:pPr>
            <w:r w:rsidRPr="00D4185E">
              <w:rPr>
                <w:color w:val="000000"/>
                <w:sz w:val="20"/>
                <w:szCs w:val="20"/>
              </w:rPr>
              <w:t>SCE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B1B68" w:rsidRPr="00D4185E" w:rsidRDefault="00DB1B68" w:rsidP="00D4185E">
            <w:pPr>
              <w:spacing w:after="0" w:line="240" w:lineRule="auto"/>
              <w:jc w:val="center"/>
              <w:rPr>
                <w:color w:val="000000"/>
                <w:sz w:val="20"/>
                <w:szCs w:val="20"/>
              </w:rPr>
            </w:pPr>
            <w:r w:rsidRPr="00D4185E">
              <w:rPr>
                <w:color w:val="000000"/>
                <w:sz w:val="20"/>
                <w:szCs w:val="20"/>
              </w:rPr>
              <w:t>SDGE</w:t>
            </w:r>
          </w:p>
        </w:tc>
        <w:tc>
          <w:tcPr>
            <w:tcW w:w="720" w:type="dxa"/>
            <w:tcBorders>
              <w:top w:val="single" w:sz="4" w:space="0" w:color="auto"/>
              <w:left w:val="single" w:sz="4" w:space="0" w:color="auto"/>
              <w:bottom w:val="single" w:sz="4" w:space="0" w:color="auto"/>
              <w:right w:val="single" w:sz="12" w:space="0" w:color="auto"/>
            </w:tcBorders>
            <w:shd w:val="clear" w:color="auto" w:fill="auto"/>
            <w:vAlign w:val="bottom"/>
            <w:hideMark/>
          </w:tcPr>
          <w:p w:rsidR="00DB1B68" w:rsidRPr="00D4185E" w:rsidRDefault="00DB1B68" w:rsidP="00D4185E">
            <w:pPr>
              <w:spacing w:after="0" w:line="240" w:lineRule="auto"/>
              <w:jc w:val="center"/>
              <w:rPr>
                <w:color w:val="000000"/>
                <w:sz w:val="20"/>
                <w:szCs w:val="20"/>
              </w:rPr>
            </w:pPr>
            <w:r w:rsidRPr="00D4185E">
              <w:rPr>
                <w:color w:val="000000"/>
                <w:sz w:val="20"/>
                <w:szCs w:val="20"/>
              </w:rPr>
              <w:t>SCG</w:t>
            </w:r>
          </w:p>
        </w:tc>
        <w:tc>
          <w:tcPr>
            <w:tcW w:w="720" w:type="dxa"/>
            <w:tcBorders>
              <w:top w:val="single" w:sz="4" w:space="0" w:color="auto"/>
              <w:left w:val="single" w:sz="12" w:space="0" w:color="auto"/>
              <w:bottom w:val="single" w:sz="4" w:space="0" w:color="auto"/>
              <w:right w:val="single" w:sz="4" w:space="0" w:color="auto"/>
            </w:tcBorders>
            <w:shd w:val="clear" w:color="auto" w:fill="auto"/>
            <w:vAlign w:val="bottom"/>
            <w:hideMark/>
          </w:tcPr>
          <w:p w:rsidR="00DB1B68" w:rsidRPr="00D4185E" w:rsidRDefault="00DB1B68" w:rsidP="00D4185E">
            <w:pPr>
              <w:spacing w:after="0" w:line="240" w:lineRule="auto"/>
              <w:jc w:val="center"/>
              <w:rPr>
                <w:color w:val="000000"/>
                <w:sz w:val="20"/>
                <w:szCs w:val="20"/>
              </w:rPr>
            </w:pPr>
            <w:r w:rsidRPr="00D4185E">
              <w:rPr>
                <w:color w:val="000000"/>
                <w:sz w:val="20"/>
                <w:szCs w:val="20"/>
              </w:rPr>
              <w:t>SW</w:t>
            </w:r>
          </w:p>
        </w:tc>
        <w:tc>
          <w:tcPr>
            <w:tcW w:w="72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B1B68" w:rsidRPr="00D4185E" w:rsidRDefault="00DB1B68" w:rsidP="00D4185E">
            <w:pPr>
              <w:spacing w:after="0" w:line="240" w:lineRule="auto"/>
              <w:jc w:val="center"/>
              <w:rPr>
                <w:color w:val="000000"/>
                <w:sz w:val="20"/>
                <w:szCs w:val="20"/>
              </w:rPr>
            </w:pPr>
            <w:r w:rsidRPr="00D4185E">
              <w:rPr>
                <w:color w:val="000000"/>
                <w:sz w:val="20"/>
                <w:szCs w:val="20"/>
              </w:rPr>
              <w:t>PGE</w:t>
            </w:r>
          </w:p>
        </w:tc>
        <w:tc>
          <w:tcPr>
            <w:tcW w:w="71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B1B68" w:rsidRPr="00D4185E" w:rsidRDefault="00DB1B68" w:rsidP="00D4185E">
            <w:pPr>
              <w:spacing w:after="0" w:line="240" w:lineRule="auto"/>
              <w:jc w:val="center"/>
              <w:rPr>
                <w:color w:val="000000"/>
                <w:sz w:val="20"/>
                <w:szCs w:val="20"/>
              </w:rPr>
            </w:pPr>
            <w:r w:rsidRPr="00D4185E">
              <w:rPr>
                <w:color w:val="000000"/>
                <w:sz w:val="20"/>
                <w:szCs w:val="20"/>
              </w:rPr>
              <w:t>SCE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B1B68" w:rsidRPr="00D4185E" w:rsidRDefault="00DB1B68" w:rsidP="00D4185E">
            <w:pPr>
              <w:spacing w:after="0" w:line="240" w:lineRule="auto"/>
              <w:jc w:val="center"/>
              <w:rPr>
                <w:color w:val="000000"/>
                <w:sz w:val="20"/>
                <w:szCs w:val="20"/>
              </w:rPr>
            </w:pPr>
            <w:r w:rsidRPr="00D4185E">
              <w:rPr>
                <w:color w:val="000000"/>
                <w:sz w:val="20"/>
                <w:szCs w:val="20"/>
              </w:rPr>
              <w:t>SDGE</w:t>
            </w:r>
          </w:p>
        </w:tc>
        <w:tc>
          <w:tcPr>
            <w:tcW w:w="720" w:type="dxa"/>
            <w:tcBorders>
              <w:top w:val="single" w:sz="4" w:space="0" w:color="auto"/>
              <w:left w:val="single" w:sz="4" w:space="0" w:color="auto"/>
              <w:bottom w:val="single" w:sz="4" w:space="0" w:color="auto"/>
              <w:right w:val="single" w:sz="12" w:space="0" w:color="auto"/>
            </w:tcBorders>
            <w:shd w:val="clear" w:color="auto" w:fill="auto"/>
            <w:vAlign w:val="bottom"/>
            <w:hideMark/>
          </w:tcPr>
          <w:p w:rsidR="00DB1B68" w:rsidRPr="00D4185E" w:rsidRDefault="00DB1B68" w:rsidP="00D4185E">
            <w:pPr>
              <w:spacing w:after="0" w:line="240" w:lineRule="auto"/>
              <w:jc w:val="center"/>
              <w:rPr>
                <w:color w:val="000000"/>
                <w:sz w:val="20"/>
                <w:szCs w:val="20"/>
              </w:rPr>
            </w:pPr>
            <w:r w:rsidRPr="00D4185E">
              <w:rPr>
                <w:color w:val="000000"/>
                <w:sz w:val="20"/>
                <w:szCs w:val="20"/>
              </w:rPr>
              <w:t>SCG</w:t>
            </w:r>
          </w:p>
        </w:tc>
        <w:tc>
          <w:tcPr>
            <w:tcW w:w="720" w:type="dxa"/>
            <w:tcBorders>
              <w:top w:val="single" w:sz="4" w:space="0" w:color="auto"/>
              <w:left w:val="single" w:sz="12" w:space="0" w:color="auto"/>
              <w:bottom w:val="single" w:sz="4" w:space="0" w:color="auto"/>
              <w:right w:val="single" w:sz="4" w:space="0" w:color="auto"/>
            </w:tcBorders>
            <w:shd w:val="clear" w:color="auto" w:fill="auto"/>
            <w:vAlign w:val="bottom"/>
            <w:hideMark/>
          </w:tcPr>
          <w:p w:rsidR="00DB1B68" w:rsidRPr="00D4185E" w:rsidRDefault="00DB1B68" w:rsidP="00D4185E">
            <w:pPr>
              <w:spacing w:after="0" w:line="240" w:lineRule="auto"/>
              <w:jc w:val="center"/>
              <w:rPr>
                <w:color w:val="000000"/>
                <w:sz w:val="20"/>
                <w:szCs w:val="20"/>
              </w:rPr>
            </w:pPr>
            <w:r w:rsidRPr="00D4185E">
              <w:rPr>
                <w:color w:val="000000"/>
                <w:sz w:val="20"/>
                <w:szCs w:val="20"/>
              </w:rPr>
              <w:t>SW</w:t>
            </w: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B1B68" w:rsidRPr="00D4185E" w:rsidRDefault="00DB1B68" w:rsidP="00D4185E">
            <w:pPr>
              <w:spacing w:after="0" w:line="240" w:lineRule="auto"/>
              <w:jc w:val="center"/>
              <w:rPr>
                <w:color w:val="000000"/>
                <w:sz w:val="20"/>
                <w:szCs w:val="20"/>
              </w:rPr>
            </w:pPr>
            <w:r w:rsidRPr="00D4185E">
              <w:rPr>
                <w:color w:val="000000"/>
                <w:sz w:val="20"/>
                <w:szCs w:val="20"/>
              </w:rPr>
              <w:t>PGE</w:t>
            </w: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B1B68" w:rsidRPr="00D4185E" w:rsidRDefault="00DB1B68" w:rsidP="00D4185E">
            <w:pPr>
              <w:spacing w:after="0" w:line="240" w:lineRule="auto"/>
              <w:jc w:val="center"/>
              <w:rPr>
                <w:color w:val="000000"/>
                <w:sz w:val="20"/>
                <w:szCs w:val="20"/>
              </w:rPr>
            </w:pPr>
            <w:r w:rsidRPr="00D4185E">
              <w:rPr>
                <w:color w:val="000000"/>
                <w:sz w:val="20"/>
                <w:szCs w:val="20"/>
              </w:rPr>
              <w:t>SCE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B1B68" w:rsidRPr="00D4185E" w:rsidRDefault="00DB1B68" w:rsidP="00D4185E">
            <w:pPr>
              <w:spacing w:after="0" w:line="240" w:lineRule="auto"/>
              <w:jc w:val="center"/>
              <w:rPr>
                <w:color w:val="000000"/>
                <w:sz w:val="20"/>
                <w:szCs w:val="20"/>
              </w:rPr>
            </w:pPr>
            <w:r w:rsidRPr="00D4185E">
              <w:rPr>
                <w:color w:val="000000"/>
                <w:sz w:val="20"/>
                <w:szCs w:val="20"/>
              </w:rPr>
              <w:t>SDGE</w:t>
            </w:r>
          </w:p>
        </w:tc>
        <w:tc>
          <w:tcPr>
            <w:tcW w:w="720" w:type="dxa"/>
            <w:tcBorders>
              <w:top w:val="single" w:sz="4" w:space="0" w:color="auto"/>
              <w:left w:val="single" w:sz="4" w:space="0" w:color="auto"/>
              <w:bottom w:val="single" w:sz="4" w:space="0" w:color="auto"/>
              <w:right w:val="single" w:sz="12" w:space="0" w:color="auto"/>
            </w:tcBorders>
            <w:shd w:val="clear" w:color="auto" w:fill="auto"/>
            <w:vAlign w:val="bottom"/>
            <w:hideMark/>
          </w:tcPr>
          <w:p w:rsidR="00DB1B68" w:rsidRPr="00D4185E" w:rsidRDefault="00DB1B68" w:rsidP="00D4185E">
            <w:pPr>
              <w:spacing w:after="0" w:line="240" w:lineRule="auto"/>
              <w:jc w:val="center"/>
              <w:rPr>
                <w:color w:val="000000"/>
                <w:sz w:val="20"/>
                <w:szCs w:val="20"/>
              </w:rPr>
            </w:pPr>
            <w:r w:rsidRPr="00D4185E">
              <w:rPr>
                <w:color w:val="000000"/>
                <w:sz w:val="20"/>
                <w:szCs w:val="20"/>
              </w:rPr>
              <w:t>SCG</w:t>
            </w:r>
          </w:p>
        </w:tc>
      </w:tr>
      <w:tr w:rsidR="00D4185E" w:rsidRPr="00D4185E" w:rsidTr="00D4185E">
        <w:trPr>
          <w:trHeight w:val="315"/>
        </w:trPr>
        <w:tc>
          <w:tcPr>
            <w:tcW w:w="1190" w:type="dxa"/>
            <w:tcBorders>
              <w:top w:val="single" w:sz="12" w:space="0" w:color="auto"/>
              <w:left w:val="single" w:sz="12" w:space="0" w:color="auto"/>
              <w:bottom w:val="single" w:sz="4" w:space="0" w:color="auto"/>
              <w:right w:val="single" w:sz="4" w:space="0" w:color="auto"/>
            </w:tcBorders>
            <w:shd w:val="clear" w:color="auto" w:fill="auto"/>
            <w:noWrap/>
            <w:vAlign w:val="bottom"/>
            <w:hideMark/>
          </w:tcPr>
          <w:p w:rsidR="00D4185E" w:rsidRDefault="00DB1B68" w:rsidP="00D4185E">
            <w:pPr>
              <w:spacing w:after="0" w:line="240" w:lineRule="auto"/>
              <w:jc w:val="center"/>
              <w:rPr>
                <w:color w:val="000000"/>
                <w:sz w:val="20"/>
                <w:szCs w:val="20"/>
              </w:rPr>
            </w:pPr>
            <w:r w:rsidRPr="00D4185E">
              <w:rPr>
                <w:color w:val="000000"/>
                <w:sz w:val="20"/>
                <w:szCs w:val="20"/>
              </w:rPr>
              <w:t>Non</w:t>
            </w:r>
            <w:r w:rsidR="00D4185E">
              <w:rPr>
                <w:color w:val="000000"/>
                <w:sz w:val="20"/>
                <w:szCs w:val="20"/>
              </w:rPr>
              <w:t>-</w:t>
            </w:r>
          </w:p>
          <w:p w:rsidR="00DB1B68" w:rsidRPr="00D4185E" w:rsidRDefault="00DB1B68" w:rsidP="00D4185E">
            <w:pPr>
              <w:spacing w:after="0" w:line="240" w:lineRule="auto"/>
              <w:jc w:val="center"/>
              <w:rPr>
                <w:color w:val="000000"/>
                <w:sz w:val="20"/>
                <w:szCs w:val="20"/>
              </w:rPr>
            </w:pPr>
            <w:r w:rsidRPr="00D4185E">
              <w:rPr>
                <w:color w:val="000000"/>
                <w:sz w:val="20"/>
                <w:szCs w:val="20"/>
              </w:rPr>
              <w:t>Residential</w:t>
            </w:r>
          </w:p>
        </w:tc>
        <w:tc>
          <w:tcPr>
            <w:tcW w:w="1530" w:type="dxa"/>
            <w:tcBorders>
              <w:top w:val="single" w:sz="12" w:space="0" w:color="auto"/>
              <w:left w:val="single" w:sz="4" w:space="0" w:color="auto"/>
              <w:bottom w:val="single" w:sz="4" w:space="0" w:color="auto"/>
              <w:right w:val="single" w:sz="12" w:space="0" w:color="auto"/>
            </w:tcBorders>
            <w:shd w:val="clear" w:color="auto" w:fill="auto"/>
            <w:noWrap/>
            <w:vAlign w:val="bottom"/>
            <w:hideMark/>
          </w:tcPr>
          <w:p w:rsidR="00DB1B68" w:rsidRPr="00D4185E" w:rsidRDefault="00DB1B68" w:rsidP="00DB1B68">
            <w:pPr>
              <w:spacing w:after="0" w:line="240" w:lineRule="auto"/>
              <w:jc w:val="left"/>
              <w:rPr>
                <w:sz w:val="20"/>
                <w:szCs w:val="20"/>
              </w:rPr>
            </w:pPr>
            <w:r w:rsidRPr="00D4185E">
              <w:rPr>
                <w:sz w:val="20"/>
                <w:szCs w:val="20"/>
              </w:rPr>
              <w:t>Refrigeration Door Gasket</w:t>
            </w:r>
          </w:p>
        </w:tc>
        <w:tc>
          <w:tcPr>
            <w:tcW w:w="720" w:type="dxa"/>
            <w:tcBorders>
              <w:top w:val="single" w:sz="4" w:space="0" w:color="auto"/>
              <w:left w:val="single" w:sz="12" w:space="0" w:color="auto"/>
              <w:bottom w:val="single" w:sz="4" w:space="0" w:color="auto"/>
              <w:right w:val="single" w:sz="4" w:space="0" w:color="auto"/>
            </w:tcBorders>
            <w:shd w:val="clear" w:color="auto" w:fill="auto"/>
            <w:noWrap/>
            <w:vAlign w:val="bottom"/>
            <w:hideMark/>
          </w:tcPr>
          <w:p w:rsidR="00DB1B68" w:rsidRPr="00D4185E" w:rsidRDefault="00DB1B68" w:rsidP="00DB1B68">
            <w:pPr>
              <w:spacing w:after="0" w:line="240" w:lineRule="auto"/>
              <w:jc w:val="right"/>
              <w:rPr>
                <w:color w:val="000000"/>
                <w:sz w:val="20"/>
                <w:szCs w:val="20"/>
              </w:rPr>
            </w:pPr>
            <w:r w:rsidRPr="00D4185E">
              <w:rPr>
                <w:color w:val="000000"/>
                <w:sz w:val="20"/>
                <w:szCs w:val="20"/>
              </w:rPr>
              <w:t>0.0%</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B1B68" w:rsidRPr="00D4185E" w:rsidRDefault="00DB1B68" w:rsidP="00DB1B68">
            <w:pPr>
              <w:spacing w:after="0" w:line="240" w:lineRule="auto"/>
              <w:jc w:val="right"/>
              <w:rPr>
                <w:color w:val="000000"/>
                <w:sz w:val="20"/>
                <w:szCs w:val="20"/>
              </w:rPr>
            </w:pPr>
            <w:r w:rsidRPr="00D4185E">
              <w:rPr>
                <w:color w:val="000000"/>
                <w:sz w:val="20"/>
                <w:szCs w:val="20"/>
              </w:rPr>
              <w:t>0.0%</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B1B68" w:rsidRPr="00D4185E" w:rsidRDefault="00DB1B68" w:rsidP="00DB1B68">
            <w:pPr>
              <w:spacing w:after="0" w:line="240" w:lineRule="auto"/>
              <w:jc w:val="right"/>
              <w:rPr>
                <w:color w:val="000000"/>
                <w:sz w:val="20"/>
                <w:szCs w:val="20"/>
              </w:rPr>
            </w:pPr>
            <w:r w:rsidRPr="00D4185E">
              <w:rPr>
                <w:color w:val="000000"/>
                <w:sz w:val="20"/>
                <w:szCs w:val="20"/>
              </w:rPr>
              <w:t>0.1%</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B1B68" w:rsidRPr="00D4185E" w:rsidRDefault="00DB1B68" w:rsidP="00DB1B68">
            <w:pPr>
              <w:spacing w:after="0" w:line="240" w:lineRule="auto"/>
              <w:jc w:val="right"/>
              <w:rPr>
                <w:color w:val="000000"/>
                <w:sz w:val="20"/>
                <w:szCs w:val="20"/>
              </w:rPr>
            </w:pPr>
            <w:r w:rsidRPr="00D4185E">
              <w:rPr>
                <w:color w:val="000000"/>
                <w:sz w:val="20"/>
                <w:szCs w:val="20"/>
              </w:rPr>
              <w:t>0.0%</w:t>
            </w:r>
          </w:p>
        </w:tc>
        <w:tc>
          <w:tcPr>
            <w:tcW w:w="720" w:type="dxa"/>
            <w:tcBorders>
              <w:top w:val="single" w:sz="4" w:space="0" w:color="auto"/>
              <w:left w:val="single" w:sz="4" w:space="0" w:color="auto"/>
              <w:bottom w:val="single" w:sz="4" w:space="0" w:color="auto"/>
              <w:right w:val="single" w:sz="12" w:space="0" w:color="auto"/>
            </w:tcBorders>
            <w:shd w:val="clear" w:color="auto" w:fill="auto"/>
            <w:noWrap/>
            <w:vAlign w:val="bottom"/>
            <w:hideMark/>
          </w:tcPr>
          <w:p w:rsidR="00DB1B68" w:rsidRPr="00D4185E" w:rsidRDefault="00DB1B68" w:rsidP="00DB1B68">
            <w:pPr>
              <w:spacing w:after="0" w:line="240" w:lineRule="auto"/>
              <w:jc w:val="right"/>
              <w:rPr>
                <w:color w:val="000000"/>
                <w:sz w:val="20"/>
                <w:szCs w:val="20"/>
              </w:rPr>
            </w:pPr>
            <w:r w:rsidRPr="00D4185E">
              <w:rPr>
                <w:color w:val="000000"/>
                <w:sz w:val="20"/>
                <w:szCs w:val="20"/>
              </w:rPr>
              <w:t>0.0%</w:t>
            </w:r>
          </w:p>
        </w:tc>
        <w:tc>
          <w:tcPr>
            <w:tcW w:w="720" w:type="dxa"/>
            <w:tcBorders>
              <w:top w:val="single" w:sz="4" w:space="0" w:color="auto"/>
              <w:left w:val="single" w:sz="12" w:space="0" w:color="auto"/>
              <w:bottom w:val="single" w:sz="4" w:space="0" w:color="auto"/>
              <w:right w:val="single" w:sz="4" w:space="0" w:color="auto"/>
            </w:tcBorders>
            <w:shd w:val="clear" w:color="auto" w:fill="auto"/>
            <w:noWrap/>
            <w:vAlign w:val="bottom"/>
            <w:hideMark/>
          </w:tcPr>
          <w:p w:rsidR="00DB1B68" w:rsidRPr="00D4185E" w:rsidRDefault="00DB1B68" w:rsidP="00DB1B68">
            <w:pPr>
              <w:spacing w:after="0" w:line="240" w:lineRule="auto"/>
              <w:jc w:val="right"/>
              <w:rPr>
                <w:color w:val="000000"/>
                <w:sz w:val="20"/>
                <w:szCs w:val="20"/>
              </w:rPr>
            </w:pPr>
            <w:r w:rsidRPr="00D4185E">
              <w:rPr>
                <w:color w:val="000000"/>
                <w:sz w:val="20"/>
                <w:szCs w:val="20"/>
              </w:rPr>
              <w:t>0.0%</w:t>
            </w:r>
          </w:p>
        </w:tc>
        <w:tc>
          <w:tcPr>
            <w:tcW w:w="7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B1B68" w:rsidRPr="00D4185E" w:rsidRDefault="00DB1B68" w:rsidP="00DB1B68">
            <w:pPr>
              <w:spacing w:after="0" w:line="240" w:lineRule="auto"/>
              <w:jc w:val="right"/>
              <w:rPr>
                <w:color w:val="000000"/>
                <w:sz w:val="20"/>
                <w:szCs w:val="20"/>
              </w:rPr>
            </w:pPr>
            <w:r w:rsidRPr="00D4185E">
              <w:rPr>
                <w:color w:val="000000"/>
                <w:sz w:val="20"/>
                <w:szCs w:val="20"/>
              </w:rPr>
              <w:t>0.0%</w:t>
            </w:r>
          </w:p>
        </w:tc>
        <w:tc>
          <w:tcPr>
            <w:tcW w:w="71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B1B68" w:rsidRPr="00D4185E" w:rsidRDefault="00DB1B68" w:rsidP="00DB1B68">
            <w:pPr>
              <w:spacing w:after="0" w:line="240" w:lineRule="auto"/>
              <w:jc w:val="right"/>
              <w:rPr>
                <w:color w:val="000000"/>
                <w:sz w:val="20"/>
                <w:szCs w:val="20"/>
              </w:rPr>
            </w:pPr>
            <w:r w:rsidRPr="00D4185E">
              <w:rPr>
                <w:color w:val="000000"/>
                <w:sz w:val="20"/>
                <w:szCs w:val="20"/>
              </w:rPr>
              <w:t>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B1B68" w:rsidRPr="00D4185E" w:rsidRDefault="00DB1B68" w:rsidP="00DB1B68">
            <w:pPr>
              <w:spacing w:after="0" w:line="240" w:lineRule="auto"/>
              <w:jc w:val="right"/>
              <w:rPr>
                <w:color w:val="000000"/>
                <w:sz w:val="20"/>
                <w:szCs w:val="20"/>
              </w:rPr>
            </w:pPr>
            <w:r w:rsidRPr="00D4185E">
              <w:rPr>
                <w:color w:val="000000"/>
                <w:sz w:val="20"/>
                <w:szCs w:val="20"/>
              </w:rPr>
              <w:t>0.0%</w:t>
            </w:r>
          </w:p>
        </w:tc>
        <w:tc>
          <w:tcPr>
            <w:tcW w:w="720" w:type="dxa"/>
            <w:tcBorders>
              <w:top w:val="single" w:sz="4" w:space="0" w:color="auto"/>
              <w:left w:val="single" w:sz="4" w:space="0" w:color="auto"/>
              <w:bottom w:val="single" w:sz="4" w:space="0" w:color="auto"/>
              <w:right w:val="single" w:sz="12" w:space="0" w:color="auto"/>
            </w:tcBorders>
            <w:shd w:val="clear" w:color="auto" w:fill="auto"/>
            <w:noWrap/>
            <w:vAlign w:val="bottom"/>
            <w:hideMark/>
          </w:tcPr>
          <w:p w:rsidR="00DB1B68" w:rsidRPr="00D4185E" w:rsidRDefault="00DB1B68" w:rsidP="00DB1B68">
            <w:pPr>
              <w:spacing w:after="0" w:line="240" w:lineRule="auto"/>
              <w:jc w:val="right"/>
              <w:rPr>
                <w:color w:val="000000"/>
                <w:sz w:val="20"/>
                <w:szCs w:val="20"/>
              </w:rPr>
            </w:pPr>
            <w:r w:rsidRPr="00D4185E">
              <w:rPr>
                <w:color w:val="000000"/>
                <w:sz w:val="20"/>
                <w:szCs w:val="20"/>
              </w:rPr>
              <w:t>0.0%</w:t>
            </w:r>
          </w:p>
        </w:tc>
        <w:tc>
          <w:tcPr>
            <w:tcW w:w="720" w:type="dxa"/>
            <w:tcBorders>
              <w:top w:val="single" w:sz="4" w:space="0" w:color="auto"/>
              <w:left w:val="single" w:sz="12" w:space="0" w:color="auto"/>
              <w:bottom w:val="single" w:sz="4" w:space="0" w:color="auto"/>
              <w:right w:val="single" w:sz="4" w:space="0" w:color="auto"/>
            </w:tcBorders>
            <w:shd w:val="clear" w:color="auto" w:fill="auto"/>
            <w:noWrap/>
            <w:vAlign w:val="bottom"/>
            <w:hideMark/>
          </w:tcPr>
          <w:p w:rsidR="00DB1B68" w:rsidRPr="00D4185E" w:rsidRDefault="00DB1B68" w:rsidP="00DB1B68">
            <w:pPr>
              <w:spacing w:after="0" w:line="240" w:lineRule="auto"/>
              <w:jc w:val="right"/>
              <w:rPr>
                <w:color w:val="000000"/>
                <w:sz w:val="20"/>
                <w:szCs w:val="20"/>
              </w:rPr>
            </w:pPr>
            <w:r w:rsidRPr="00D4185E">
              <w:rPr>
                <w:color w:val="000000"/>
                <w:sz w:val="20"/>
                <w:szCs w:val="20"/>
              </w:rPr>
              <w:t>0.0%</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B1B68" w:rsidRPr="00D4185E" w:rsidRDefault="00DB1B68" w:rsidP="00DB1B68">
            <w:pPr>
              <w:spacing w:after="0" w:line="240" w:lineRule="auto"/>
              <w:jc w:val="right"/>
              <w:rPr>
                <w:color w:val="000000"/>
                <w:sz w:val="20"/>
                <w:szCs w:val="20"/>
              </w:rPr>
            </w:pPr>
            <w:r w:rsidRPr="00D4185E">
              <w:rPr>
                <w:color w:val="000000"/>
                <w:sz w:val="20"/>
                <w:szCs w:val="20"/>
              </w:rPr>
              <w:t>0.0%</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B1B68" w:rsidRPr="00D4185E" w:rsidRDefault="00DB1B68" w:rsidP="00DB1B68">
            <w:pPr>
              <w:spacing w:after="0" w:line="240" w:lineRule="auto"/>
              <w:jc w:val="right"/>
              <w:rPr>
                <w:color w:val="000000"/>
                <w:sz w:val="20"/>
                <w:szCs w:val="20"/>
              </w:rPr>
            </w:pPr>
            <w:r w:rsidRPr="00D4185E">
              <w:rPr>
                <w:color w:val="000000"/>
                <w:sz w:val="20"/>
                <w:szCs w:val="20"/>
              </w:rPr>
              <w:t>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B1B68" w:rsidRPr="00D4185E" w:rsidRDefault="00DB1B68" w:rsidP="00DB1B68">
            <w:pPr>
              <w:spacing w:after="0" w:line="240" w:lineRule="auto"/>
              <w:jc w:val="right"/>
              <w:rPr>
                <w:color w:val="000000"/>
                <w:sz w:val="20"/>
                <w:szCs w:val="20"/>
              </w:rPr>
            </w:pPr>
            <w:r w:rsidRPr="00D4185E">
              <w:rPr>
                <w:color w:val="000000"/>
                <w:sz w:val="20"/>
                <w:szCs w:val="20"/>
              </w:rPr>
              <w:t>0.0%</w:t>
            </w:r>
          </w:p>
        </w:tc>
        <w:tc>
          <w:tcPr>
            <w:tcW w:w="720" w:type="dxa"/>
            <w:tcBorders>
              <w:top w:val="single" w:sz="4" w:space="0" w:color="auto"/>
              <w:left w:val="single" w:sz="4" w:space="0" w:color="auto"/>
              <w:bottom w:val="single" w:sz="4" w:space="0" w:color="auto"/>
              <w:right w:val="single" w:sz="12" w:space="0" w:color="auto"/>
            </w:tcBorders>
            <w:shd w:val="clear" w:color="auto" w:fill="auto"/>
            <w:noWrap/>
            <w:vAlign w:val="bottom"/>
            <w:hideMark/>
          </w:tcPr>
          <w:p w:rsidR="00DB1B68" w:rsidRPr="00D4185E" w:rsidRDefault="00DB1B68" w:rsidP="00DB1B68">
            <w:pPr>
              <w:spacing w:after="0" w:line="240" w:lineRule="auto"/>
              <w:jc w:val="right"/>
              <w:rPr>
                <w:color w:val="000000"/>
                <w:sz w:val="20"/>
                <w:szCs w:val="20"/>
              </w:rPr>
            </w:pPr>
            <w:r w:rsidRPr="00D4185E">
              <w:rPr>
                <w:color w:val="000000"/>
                <w:sz w:val="20"/>
                <w:szCs w:val="20"/>
              </w:rPr>
              <w:t>0.0%</w:t>
            </w:r>
          </w:p>
        </w:tc>
      </w:tr>
      <w:tr w:rsidR="00D4185E" w:rsidRPr="00D4185E" w:rsidTr="00D4185E">
        <w:trPr>
          <w:trHeight w:val="300"/>
        </w:trPr>
        <w:tc>
          <w:tcPr>
            <w:tcW w:w="1190" w:type="dxa"/>
            <w:tcBorders>
              <w:top w:val="single" w:sz="4" w:space="0" w:color="auto"/>
              <w:left w:val="single" w:sz="12" w:space="0" w:color="auto"/>
              <w:bottom w:val="single" w:sz="12" w:space="0" w:color="auto"/>
              <w:right w:val="single" w:sz="4" w:space="0" w:color="auto"/>
            </w:tcBorders>
            <w:shd w:val="clear" w:color="auto" w:fill="auto"/>
            <w:noWrap/>
            <w:vAlign w:val="bottom"/>
            <w:hideMark/>
          </w:tcPr>
          <w:p w:rsidR="00D4185E" w:rsidRDefault="00DB1B68" w:rsidP="00D4185E">
            <w:pPr>
              <w:spacing w:after="0" w:line="240" w:lineRule="auto"/>
              <w:jc w:val="center"/>
              <w:rPr>
                <w:color w:val="000000"/>
                <w:sz w:val="20"/>
                <w:szCs w:val="20"/>
              </w:rPr>
            </w:pPr>
            <w:r w:rsidRPr="00D4185E">
              <w:rPr>
                <w:color w:val="000000"/>
                <w:sz w:val="20"/>
                <w:szCs w:val="20"/>
              </w:rPr>
              <w:t>Non</w:t>
            </w:r>
            <w:r w:rsidR="00D4185E">
              <w:rPr>
                <w:color w:val="000000"/>
                <w:sz w:val="20"/>
                <w:szCs w:val="20"/>
              </w:rPr>
              <w:t>-</w:t>
            </w:r>
          </w:p>
          <w:p w:rsidR="00DB1B68" w:rsidRPr="00D4185E" w:rsidRDefault="00DB1B68" w:rsidP="00D4185E">
            <w:pPr>
              <w:spacing w:after="0" w:line="240" w:lineRule="auto"/>
              <w:jc w:val="center"/>
              <w:rPr>
                <w:color w:val="000000"/>
                <w:sz w:val="20"/>
                <w:szCs w:val="20"/>
              </w:rPr>
            </w:pPr>
            <w:r w:rsidRPr="00D4185E">
              <w:rPr>
                <w:color w:val="000000"/>
                <w:sz w:val="20"/>
                <w:szCs w:val="20"/>
              </w:rPr>
              <w:t>Residential</w:t>
            </w:r>
          </w:p>
        </w:tc>
        <w:tc>
          <w:tcPr>
            <w:tcW w:w="1530" w:type="dxa"/>
            <w:tcBorders>
              <w:top w:val="single" w:sz="4" w:space="0" w:color="auto"/>
              <w:left w:val="single" w:sz="4" w:space="0" w:color="auto"/>
              <w:bottom w:val="single" w:sz="12" w:space="0" w:color="auto"/>
              <w:right w:val="single" w:sz="12" w:space="0" w:color="auto"/>
            </w:tcBorders>
            <w:shd w:val="clear" w:color="auto" w:fill="auto"/>
            <w:noWrap/>
            <w:vAlign w:val="bottom"/>
            <w:hideMark/>
          </w:tcPr>
          <w:p w:rsidR="00DB1B68" w:rsidRPr="00D4185E" w:rsidRDefault="00DB1B68" w:rsidP="00DB1B68">
            <w:pPr>
              <w:spacing w:after="0" w:line="240" w:lineRule="auto"/>
              <w:jc w:val="left"/>
              <w:rPr>
                <w:sz w:val="20"/>
                <w:szCs w:val="20"/>
              </w:rPr>
            </w:pPr>
            <w:r w:rsidRPr="00D4185E">
              <w:rPr>
                <w:sz w:val="20"/>
                <w:szCs w:val="20"/>
              </w:rPr>
              <w:t>Refrigeration Strip Curtain</w:t>
            </w:r>
          </w:p>
        </w:tc>
        <w:tc>
          <w:tcPr>
            <w:tcW w:w="720" w:type="dxa"/>
            <w:tcBorders>
              <w:top w:val="single" w:sz="4" w:space="0" w:color="auto"/>
              <w:left w:val="single" w:sz="12" w:space="0" w:color="auto"/>
              <w:bottom w:val="single" w:sz="12" w:space="0" w:color="auto"/>
              <w:right w:val="single" w:sz="4" w:space="0" w:color="auto"/>
            </w:tcBorders>
            <w:shd w:val="clear" w:color="000000" w:fill="C6EFCE"/>
            <w:noWrap/>
            <w:vAlign w:val="bottom"/>
            <w:hideMark/>
          </w:tcPr>
          <w:p w:rsidR="00DB1B68" w:rsidRPr="00D4185E" w:rsidRDefault="00DB1B68" w:rsidP="00DB1B68">
            <w:pPr>
              <w:spacing w:after="0" w:line="240" w:lineRule="auto"/>
              <w:jc w:val="right"/>
              <w:rPr>
                <w:color w:val="006100"/>
                <w:sz w:val="20"/>
                <w:szCs w:val="20"/>
              </w:rPr>
            </w:pPr>
            <w:r w:rsidRPr="00D4185E">
              <w:rPr>
                <w:color w:val="006100"/>
                <w:sz w:val="20"/>
                <w:szCs w:val="20"/>
              </w:rPr>
              <w:t>3.0%</w:t>
            </w:r>
          </w:p>
        </w:tc>
        <w:tc>
          <w:tcPr>
            <w:tcW w:w="720" w:type="dxa"/>
            <w:tcBorders>
              <w:top w:val="single" w:sz="4" w:space="0" w:color="auto"/>
              <w:left w:val="single" w:sz="4" w:space="0" w:color="auto"/>
              <w:bottom w:val="single" w:sz="12" w:space="0" w:color="auto"/>
              <w:right w:val="single" w:sz="4" w:space="0" w:color="auto"/>
            </w:tcBorders>
            <w:shd w:val="clear" w:color="000000" w:fill="C6EFCE"/>
            <w:noWrap/>
            <w:vAlign w:val="bottom"/>
            <w:hideMark/>
          </w:tcPr>
          <w:p w:rsidR="00DB1B68" w:rsidRPr="00D4185E" w:rsidRDefault="00DB1B68" w:rsidP="00DB1B68">
            <w:pPr>
              <w:spacing w:after="0" w:line="240" w:lineRule="auto"/>
              <w:jc w:val="right"/>
              <w:rPr>
                <w:color w:val="006100"/>
                <w:sz w:val="20"/>
                <w:szCs w:val="20"/>
              </w:rPr>
            </w:pPr>
            <w:r w:rsidRPr="00D4185E">
              <w:rPr>
                <w:color w:val="006100"/>
                <w:sz w:val="20"/>
                <w:szCs w:val="20"/>
              </w:rPr>
              <w:t>5.5%</w:t>
            </w:r>
          </w:p>
        </w:tc>
        <w:tc>
          <w:tcPr>
            <w:tcW w:w="720" w:type="dxa"/>
            <w:tcBorders>
              <w:top w:val="single" w:sz="4" w:space="0" w:color="auto"/>
              <w:left w:val="single" w:sz="4" w:space="0" w:color="auto"/>
              <w:bottom w:val="single" w:sz="12" w:space="0" w:color="auto"/>
              <w:right w:val="single" w:sz="4" w:space="0" w:color="auto"/>
            </w:tcBorders>
            <w:shd w:val="clear" w:color="auto" w:fill="auto"/>
            <w:noWrap/>
            <w:vAlign w:val="bottom"/>
            <w:hideMark/>
          </w:tcPr>
          <w:p w:rsidR="00DB1B68" w:rsidRPr="00D4185E" w:rsidRDefault="00DB1B68" w:rsidP="00DB1B68">
            <w:pPr>
              <w:spacing w:after="0" w:line="240" w:lineRule="auto"/>
              <w:jc w:val="right"/>
              <w:rPr>
                <w:color w:val="000000"/>
                <w:sz w:val="20"/>
                <w:szCs w:val="20"/>
              </w:rPr>
            </w:pPr>
            <w:r w:rsidRPr="00D4185E">
              <w:rPr>
                <w:color w:val="000000"/>
                <w:sz w:val="20"/>
                <w:szCs w:val="20"/>
              </w:rPr>
              <w:t>0.9%</w:t>
            </w:r>
          </w:p>
        </w:tc>
        <w:tc>
          <w:tcPr>
            <w:tcW w:w="810" w:type="dxa"/>
            <w:tcBorders>
              <w:top w:val="single" w:sz="4" w:space="0" w:color="auto"/>
              <w:left w:val="single" w:sz="4" w:space="0" w:color="auto"/>
              <w:bottom w:val="single" w:sz="12" w:space="0" w:color="auto"/>
              <w:right w:val="single" w:sz="4" w:space="0" w:color="auto"/>
            </w:tcBorders>
            <w:shd w:val="clear" w:color="auto" w:fill="auto"/>
            <w:noWrap/>
            <w:vAlign w:val="bottom"/>
            <w:hideMark/>
          </w:tcPr>
          <w:p w:rsidR="00DB1B68" w:rsidRPr="00D4185E" w:rsidRDefault="00DB1B68" w:rsidP="00DB1B68">
            <w:pPr>
              <w:spacing w:after="0" w:line="240" w:lineRule="auto"/>
              <w:jc w:val="right"/>
              <w:rPr>
                <w:color w:val="000000"/>
                <w:sz w:val="20"/>
                <w:szCs w:val="20"/>
              </w:rPr>
            </w:pPr>
            <w:r w:rsidRPr="00D4185E">
              <w:rPr>
                <w:color w:val="000000"/>
                <w:sz w:val="20"/>
                <w:szCs w:val="20"/>
              </w:rPr>
              <w:t>0.6%</w:t>
            </w:r>
          </w:p>
        </w:tc>
        <w:tc>
          <w:tcPr>
            <w:tcW w:w="720" w:type="dxa"/>
            <w:tcBorders>
              <w:top w:val="single" w:sz="4" w:space="0" w:color="auto"/>
              <w:left w:val="single" w:sz="4" w:space="0" w:color="auto"/>
              <w:bottom w:val="single" w:sz="12" w:space="0" w:color="auto"/>
              <w:right w:val="single" w:sz="12" w:space="0" w:color="auto"/>
            </w:tcBorders>
            <w:shd w:val="clear" w:color="auto" w:fill="auto"/>
            <w:noWrap/>
            <w:vAlign w:val="bottom"/>
            <w:hideMark/>
          </w:tcPr>
          <w:p w:rsidR="00DB1B68" w:rsidRPr="00D4185E" w:rsidRDefault="00DB1B68" w:rsidP="00DB1B68">
            <w:pPr>
              <w:spacing w:after="0" w:line="240" w:lineRule="auto"/>
              <w:jc w:val="right"/>
              <w:rPr>
                <w:color w:val="000000"/>
                <w:sz w:val="20"/>
                <w:szCs w:val="20"/>
              </w:rPr>
            </w:pPr>
            <w:r w:rsidRPr="00D4185E">
              <w:rPr>
                <w:color w:val="000000"/>
                <w:sz w:val="20"/>
                <w:szCs w:val="20"/>
              </w:rPr>
              <w:t>0.0%</w:t>
            </w:r>
          </w:p>
        </w:tc>
        <w:tc>
          <w:tcPr>
            <w:tcW w:w="720" w:type="dxa"/>
            <w:tcBorders>
              <w:top w:val="single" w:sz="4" w:space="0" w:color="auto"/>
              <w:left w:val="single" w:sz="12" w:space="0" w:color="auto"/>
              <w:bottom w:val="single" w:sz="12" w:space="0" w:color="auto"/>
              <w:right w:val="single" w:sz="4" w:space="0" w:color="auto"/>
            </w:tcBorders>
            <w:shd w:val="clear" w:color="000000" w:fill="C6EFCE"/>
            <w:noWrap/>
            <w:vAlign w:val="bottom"/>
            <w:hideMark/>
          </w:tcPr>
          <w:p w:rsidR="00DB1B68" w:rsidRPr="00D4185E" w:rsidRDefault="00DB1B68" w:rsidP="00DB1B68">
            <w:pPr>
              <w:spacing w:after="0" w:line="240" w:lineRule="auto"/>
              <w:jc w:val="right"/>
              <w:rPr>
                <w:color w:val="006100"/>
                <w:sz w:val="20"/>
                <w:szCs w:val="20"/>
              </w:rPr>
            </w:pPr>
            <w:r w:rsidRPr="00D4185E">
              <w:rPr>
                <w:color w:val="006100"/>
                <w:sz w:val="20"/>
                <w:szCs w:val="20"/>
              </w:rPr>
              <w:t>2.8%</w:t>
            </w:r>
          </w:p>
        </w:tc>
        <w:tc>
          <w:tcPr>
            <w:tcW w:w="726" w:type="dxa"/>
            <w:tcBorders>
              <w:top w:val="single" w:sz="4" w:space="0" w:color="auto"/>
              <w:left w:val="single" w:sz="4" w:space="0" w:color="auto"/>
              <w:bottom w:val="single" w:sz="12" w:space="0" w:color="auto"/>
              <w:right w:val="single" w:sz="4" w:space="0" w:color="auto"/>
            </w:tcBorders>
            <w:shd w:val="clear" w:color="000000" w:fill="C6EFCE"/>
            <w:noWrap/>
            <w:vAlign w:val="bottom"/>
            <w:hideMark/>
          </w:tcPr>
          <w:p w:rsidR="00DB1B68" w:rsidRPr="00D4185E" w:rsidRDefault="00DB1B68" w:rsidP="00DB1B68">
            <w:pPr>
              <w:spacing w:after="0" w:line="240" w:lineRule="auto"/>
              <w:jc w:val="right"/>
              <w:rPr>
                <w:color w:val="006100"/>
                <w:sz w:val="20"/>
                <w:szCs w:val="20"/>
              </w:rPr>
            </w:pPr>
            <w:r w:rsidRPr="00D4185E">
              <w:rPr>
                <w:color w:val="006100"/>
                <w:sz w:val="20"/>
                <w:szCs w:val="20"/>
              </w:rPr>
              <w:t>5.9%</w:t>
            </w:r>
          </w:p>
        </w:tc>
        <w:tc>
          <w:tcPr>
            <w:tcW w:w="714" w:type="dxa"/>
            <w:tcBorders>
              <w:top w:val="single" w:sz="4" w:space="0" w:color="auto"/>
              <w:left w:val="single" w:sz="4" w:space="0" w:color="auto"/>
              <w:bottom w:val="single" w:sz="12" w:space="0" w:color="auto"/>
              <w:right w:val="single" w:sz="4" w:space="0" w:color="auto"/>
            </w:tcBorders>
            <w:shd w:val="clear" w:color="auto" w:fill="auto"/>
            <w:noWrap/>
            <w:vAlign w:val="bottom"/>
            <w:hideMark/>
          </w:tcPr>
          <w:p w:rsidR="00DB1B68" w:rsidRPr="00D4185E" w:rsidRDefault="00DB1B68" w:rsidP="00DB1B68">
            <w:pPr>
              <w:spacing w:after="0" w:line="240" w:lineRule="auto"/>
              <w:jc w:val="right"/>
              <w:rPr>
                <w:color w:val="000000"/>
                <w:sz w:val="20"/>
                <w:szCs w:val="20"/>
              </w:rPr>
            </w:pPr>
            <w:r w:rsidRPr="00D4185E">
              <w:rPr>
                <w:color w:val="000000"/>
                <w:sz w:val="20"/>
                <w:szCs w:val="20"/>
              </w:rPr>
              <w:t>0.3%</w:t>
            </w:r>
          </w:p>
        </w:tc>
        <w:tc>
          <w:tcPr>
            <w:tcW w:w="810" w:type="dxa"/>
            <w:tcBorders>
              <w:top w:val="single" w:sz="4" w:space="0" w:color="auto"/>
              <w:left w:val="single" w:sz="4" w:space="0" w:color="auto"/>
              <w:bottom w:val="single" w:sz="12" w:space="0" w:color="auto"/>
              <w:right w:val="single" w:sz="4" w:space="0" w:color="auto"/>
            </w:tcBorders>
            <w:shd w:val="clear" w:color="auto" w:fill="auto"/>
            <w:noWrap/>
            <w:vAlign w:val="bottom"/>
            <w:hideMark/>
          </w:tcPr>
          <w:p w:rsidR="00DB1B68" w:rsidRPr="00D4185E" w:rsidRDefault="00DB1B68" w:rsidP="00DB1B68">
            <w:pPr>
              <w:spacing w:after="0" w:line="240" w:lineRule="auto"/>
              <w:jc w:val="right"/>
              <w:rPr>
                <w:color w:val="000000"/>
                <w:sz w:val="20"/>
                <w:szCs w:val="20"/>
              </w:rPr>
            </w:pPr>
            <w:r w:rsidRPr="00D4185E">
              <w:rPr>
                <w:color w:val="000000"/>
                <w:sz w:val="20"/>
                <w:szCs w:val="20"/>
              </w:rPr>
              <w:t>0.4%</w:t>
            </w:r>
          </w:p>
        </w:tc>
        <w:tc>
          <w:tcPr>
            <w:tcW w:w="720" w:type="dxa"/>
            <w:tcBorders>
              <w:top w:val="single" w:sz="4" w:space="0" w:color="auto"/>
              <w:left w:val="single" w:sz="4" w:space="0" w:color="auto"/>
              <w:bottom w:val="single" w:sz="12" w:space="0" w:color="auto"/>
              <w:right w:val="single" w:sz="12" w:space="0" w:color="auto"/>
            </w:tcBorders>
            <w:shd w:val="clear" w:color="auto" w:fill="auto"/>
            <w:noWrap/>
            <w:vAlign w:val="bottom"/>
            <w:hideMark/>
          </w:tcPr>
          <w:p w:rsidR="00DB1B68" w:rsidRPr="00D4185E" w:rsidRDefault="00DB1B68" w:rsidP="00DB1B68">
            <w:pPr>
              <w:spacing w:after="0" w:line="240" w:lineRule="auto"/>
              <w:jc w:val="right"/>
              <w:rPr>
                <w:color w:val="000000"/>
                <w:sz w:val="20"/>
                <w:szCs w:val="20"/>
              </w:rPr>
            </w:pPr>
            <w:r w:rsidRPr="00D4185E">
              <w:rPr>
                <w:color w:val="000000"/>
                <w:sz w:val="20"/>
                <w:szCs w:val="20"/>
              </w:rPr>
              <w:t>0.0%</w:t>
            </w:r>
          </w:p>
        </w:tc>
        <w:tc>
          <w:tcPr>
            <w:tcW w:w="720" w:type="dxa"/>
            <w:tcBorders>
              <w:top w:val="single" w:sz="4" w:space="0" w:color="auto"/>
              <w:left w:val="single" w:sz="12" w:space="0" w:color="auto"/>
              <w:bottom w:val="single" w:sz="12" w:space="0" w:color="auto"/>
              <w:right w:val="single" w:sz="4" w:space="0" w:color="auto"/>
            </w:tcBorders>
            <w:shd w:val="clear" w:color="auto" w:fill="auto"/>
            <w:noWrap/>
            <w:vAlign w:val="bottom"/>
            <w:hideMark/>
          </w:tcPr>
          <w:p w:rsidR="00DB1B68" w:rsidRPr="00D4185E" w:rsidRDefault="00DB1B68" w:rsidP="00DB1B68">
            <w:pPr>
              <w:spacing w:after="0" w:line="240" w:lineRule="auto"/>
              <w:jc w:val="right"/>
              <w:rPr>
                <w:color w:val="000000"/>
                <w:sz w:val="20"/>
                <w:szCs w:val="20"/>
              </w:rPr>
            </w:pPr>
            <w:r w:rsidRPr="00D4185E">
              <w:rPr>
                <w:color w:val="000000"/>
                <w:sz w:val="20"/>
                <w:szCs w:val="20"/>
              </w:rPr>
              <w:t>0.0%</w:t>
            </w:r>
          </w:p>
        </w:tc>
        <w:tc>
          <w:tcPr>
            <w:tcW w:w="630" w:type="dxa"/>
            <w:tcBorders>
              <w:top w:val="single" w:sz="4" w:space="0" w:color="auto"/>
              <w:left w:val="single" w:sz="4" w:space="0" w:color="auto"/>
              <w:bottom w:val="single" w:sz="12" w:space="0" w:color="auto"/>
              <w:right w:val="single" w:sz="4" w:space="0" w:color="auto"/>
            </w:tcBorders>
            <w:shd w:val="clear" w:color="auto" w:fill="auto"/>
            <w:noWrap/>
            <w:vAlign w:val="bottom"/>
            <w:hideMark/>
          </w:tcPr>
          <w:p w:rsidR="00DB1B68" w:rsidRPr="00D4185E" w:rsidRDefault="00DB1B68" w:rsidP="00DB1B68">
            <w:pPr>
              <w:spacing w:after="0" w:line="240" w:lineRule="auto"/>
              <w:jc w:val="right"/>
              <w:rPr>
                <w:color w:val="000000"/>
                <w:sz w:val="20"/>
                <w:szCs w:val="20"/>
              </w:rPr>
            </w:pPr>
            <w:r w:rsidRPr="00D4185E">
              <w:rPr>
                <w:color w:val="000000"/>
                <w:sz w:val="20"/>
                <w:szCs w:val="20"/>
              </w:rPr>
              <w:t>0.0%</w:t>
            </w:r>
          </w:p>
        </w:tc>
        <w:tc>
          <w:tcPr>
            <w:tcW w:w="630" w:type="dxa"/>
            <w:tcBorders>
              <w:top w:val="single" w:sz="4" w:space="0" w:color="auto"/>
              <w:left w:val="single" w:sz="4" w:space="0" w:color="auto"/>
              <w:bottom w:val="single" w:sz="12" w:space="0" w:color="auto"/>
              <w:right w:val="single" w:sz="4" w:space="0" w:color="auto"/>
            </w:tcBorders>
            <w:shd w:val="clear" w:color="auto" w:fill="auto"/>
            <w:noWrap/>
            <w:vAlign w:val="bottom"/>
            <w:hideMark/>
          </w:tcPr>
          <w:p w:rsidR="00DB1B68" w:rsidRPr="00D4185E" w:rsidRDefault="00DB1B68" w:rsidP="00DB1B68">
            <w:pPr>
              <w:spacing w:after="0" w:line="240" w:lineRule="auto"/>
              <w:jc w:val="right"/>
              <w:rPr>
                <w:color w:val="000000"/>
                <w:sz w:val="20"/>
                <w:szCs w:val="20"/>
              </w:rPr>
            </w:pPr>
            <w:r w:rsidRPr="00D4185E">
              <w:rPr>
                <w:color w:val="000000"/>
                <w:sz w:val="20"/>
                <w:szCs w:val="20"/>
              </w:rPr>
              <w:t>0.0%</w:t>
            </w:r>
          </w:p>
        </w:tc>
        <w:tc>
          <w:tcPr>
            <w:tcW w:w="810" w:type="dxa"/>
            <w:tcBorders>
              <w:top w:val="single" w:sz="4" w:space="0" w:color="auto"/>
              <w:left w:val="single" w:sz="4" w:space="0" w:color="auto"/>
              <w:bottom w:val="single" w:sz="12" w:space="0" w:color="auto"/>
              <w:right w:val="single" w:sz="4" w:space="0" w:color="auto"/>
            </w:tcBorders>
            <w:shd w:val="clear" w:color="auto" w:fill="auto"/>
            <w:noWrap/>
            <w:vAlign w:val="bottom"/>
            <w:hideMark/>
          </w:tcPr>
          <w:p w:rsidR="00DB1B68" w:rsidRPr="00D4185E" w:rsidRDefault="00DB1B68" w:rsidP="00DB1B68">
            <w:pPr>
              <w:spacing w:after="0" w:line="240" w:lineRule="auto"/>
              <w:jc w:val="right"/>
              <w:rPr>
                <w:color w:val="000000"/>
                <w:sz w:val="20"/>
                <w:szCs w:val="20"/>
              </w:rPr>
            </w:pPr>
            <w:r w:rsidRPr="00D4185E">
              <w:rPr>
                <w:color w:val="000000"/>
                <w:sz w:val="20"/>
                <w:szCs w:val="20"/>
              </w:rPr>
              <w:t>0.0%</w:t>
            </w:r>
          </w:p>
        </w:tc>
        <w:tc>
          <w:tcPr>
            <w:tcW w:w="720" w:type="dxa"/>
            <w:tcBorders>
              <w:top w:val="single" w:sz="4" w:space="0" w:color="auto"/>
              <w:left w:val="single" w:sz="4" w:space="0" w:color="auto"/>
              <w:bottom w:val="single" w:sz="12" w:space="0" w:color="auto"/>
              <w:right w:val="single" w:sz="12" w:space="0" w:color="auto"/>
            </w:tcBorders>
            <w:shd w:val="clear" w:color="auto" w:fill="auto"/>
            <w:noWrap/>
            <w:vAlign w:val="bottom"/>
            <w:hideMark/>
          </w:tcPr>
          <w:p w:rsidR="00DB1B68" w:rsidRPr="00D4185E" w:rsidRDefault="00DB1B68" w:rsidP="00DB1B68">
            <w:pPr>
              <w:spacing w:after="0" w:line="240" w:lineRule="auto"/>
              <w:jc w:val="right"/>
              <w:rPr>
                <w:color w:val="000000"/>
                <w:sz w:val="20"/>
                <w:szCs w:val="20"/>
              </w:rPr>
            </w:pPr>
            <w:r w:rsidRPr="00D4185E">
              <w:rPr>
                <w:color w:val="000000"/>
                <w:sz w:val="20"/>
                <w:szCs w:val="20"/>
              </w:rPr>
              <w:t>0.0%</w:t>
            </w:r>
          </w:p>
        </w:tc>
      </w:tr>
    </w:tbl>
    <w:p w:rsidR="00DB1B68" w:rsidRPr="00910C31" w:rsidRDefault="00DB1B68" w:rsidP="002B13C1">
      <w:pPr>
        <w:rPr>
          <w:rFonts w:eastAsiaTheme="minorHAnsi"/>
        </w:rPr>
      </w:pPr>
    </w:p>
    <w:sectPr w:rsidR="00DB1B68" w:rsidRPr="00910C31" w:rsidSect="00D20389">
      <w:headerReference w:type="default" r:id="rId8"/>
      <w:footerReference w:type="default" r:id="rId9"/>
      <w:headerReference w:type="first" r:id="rId10"/>
      <w:footerReference w:type="first" r:id="rId11"/>
      <w:pgSz w:w="15840" w:h="12240" w:orient="landscape" w:code="1"/>
      <w:pgMar w:top="1440" w:right="1440" w:bottom="1440" w:left="1440" w:header="720" w:footer="720" w:gutter="0"/>
      <w:pgNumType w:chapStyle="1"/>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E1619" w:rsidRDefault="006E1619" w:rsidP="006A4B7C">
      <w:pPr>
        <w:spacing w:after="0" w:line="240" w:lineRule="auto"/>
      </w:pPr>
      <w:r>
        <w:separator/>
      </w:r>
    </w:p>
  </w:endnote>
  <w:endnote w:type="continuationSeparator" w:id="0">
    <w:p w:rsidR="006E1619" w:rsidRDefault="006E1619" w:rsidP="006A4B7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1619" w:rsidRDefault="006E1619" w:rsidP="005451E7">
    <w:pPr>
      <w:pStyle w:val="Footer"/>
      <w:tabs>
        <w:tab w:val="clear" w:pos="4680"/>
        <w:tab w:val="clear" w:pos="9360"/>
        <w:tab w:val="center" w:pos="6480"/>
        <w:tab w:val="right" w:pos="12960"/>
      </w:tabs>
    </w:pPr>
    <w:r>
      <w:t>Itron, Inc.</w:t>
    </w:r>
    <w:r>
      <w:tab/>
    </w:r>
    <w:r w:rsidR="00476891">
      <w:t>A-4-</w:t>
    </w:r>
    <w:fldSimple w:instr=" PAGE   \* MERGEFORMAT ">
      <w:r w:rsidR="00476891">
        <w:rPr>
          <w:noProof/>
        </w:rPr>
        <w:t>2</w:t>
      </w:r>
    </w:fldSimple>
    <w:r>
      <w:tab/>
    </w:r>
    <w:r w:rsidR="00476891">
      <w:fldChar w:fldCharType="begin"/>
    </w:r>
    <w:r w:rsidR="00476891">
      <w:instrText xml:space="preserve"> REF _Ref307581529 \h </w:instrText>
    </w:r>
    <w:r w:rsidR="00476891">
      <w:fldChar w:fldCharType="separate"/>
    </w:r>
    <w:r w:rsidR="00476891">
      <w:t>Appendix A-4</w:t>
    </w:r>
    <w:r w:rsidR="00476891">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1619" w:rsidRDefault="006E1619" w:rsidP="005451E7">
    <w:pPr>
      <w:pStyle w:val="Footer"/>
      <w:tabs>
        <w:tab w:val="clear" w:pos="4680"/>
        <w:tab w:val="clear" w:pos="9360"/>
        <w:tab w:val="center" w:pos="6480"/>
        <w:tab w:val="right" w:pos="12960"/>
      </w:tabs>
    </w:pPr>
    <w:r>
      <w:t>Itron, Inc.</w:t>
    </w:r>
    <w:r>
      <w:tab/>
    </w:r>
    <w:r w:rsidR="00476891">
      <w:t>A-4-</w:t>
    </w:r>
    <w:fldSimple w:instr=" PAGE   \* MERGEFORMAT ">
      <w:r w:rsidR="00476891">
        <w:rPr>
          <w:noProof/>
        </w:rPr>
        <w:t>1</w:t>
      </w:r>
    </w:fldSimple>
    <w:r>
      <w:tab/>
    </w:r>
    <w:r w:rsidR="00476891">
      <w:fldChar w:fldCharType="begin"/>
    </w:r>
    <w:r w:rsidR="00476891">
      <w:instrText xml:space="preserve"> REF _Ref307581529 \h </w:instrText>
    </w:r>
    <w:r w:rsidR="00476891">
      <w:fldChar w:fldCharType="separate"/>
    </w:r>
    <w:r w:rsidR="00476891">
      <w:t>Appendix A-4</w:t>
    </w:r>
    <w:r w:rsidR="00476891">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E1619" w:rsidRDefault="006E1619" w:rsidP="006A4B7C">
      <w:pPr>
        <w:spacing w:after="0" w:line="240" w:lineRule="auto"/>
      </w:pPr>
      <w:r>
        <w:separator/>
      </w:r>
    </w:p>
  </w:footnote>
  <w:footnote w:type="continuationSeparator" w:id="0">
    <w:p w:rsidR="006E1619" w:rsidRDefault="006E1619" w:rsidP="006A4B7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1619" w:rsidRPr="005451E7" w:rsidRDefault="006E1619" w:rsidP="005451E7">
    <w:pPr>
      <w:pStyle w:val="Header"/>
    </w:pPr>
    <w:r w:rsidRPr="005451E7">
      <w:t>Database for Energy Efficiency Resources: 2011 Update</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1619" w:rsidRDefault="006E1619" w:rsidP="005451E7">
    <w:pPr>
      <w:pStyle w:val="Header"/>
    </w:pPr>
    <w:r w:rsidRPr="005451E7">
      <w:t>Database for Energy Efficiency Resources: 2011 Update</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D0747692"/>
    <w:lvl w:ilvl="0">
      <w:start w:val="1"/>
      <w:numFmt w:val="bullet"/>
      <w:pStyle w:val="ListBullet2"/>
      <w:lvlText w:val="─"/>
      <w:lvlJc w:val="left"/>
      <w:pPr>
        <w:ind w:left="1800" w:hanging="360"/>
      </w:pPr>
      <w:rPr>
        <w:rFonts w:ascii="Times New Roman" w:hAnsi="Times New Roman" w:cs="Times New Roman" w:hint="default"/>
        <w:sz w:val="24"/>
      </w:rPr>
    </w:lvl>
  </w:abstractNum>
  <w:abstractNum w:abstractNumId="1">
    <w:nsid w:val="FFFFFFFB"/>
    <w:multiLevelType w:val="multilevel"/>
    <w:tmpl w:val="9878CE6A"/>
    <w:lvl w:ilvl="0">
      <w:start w:val="5"/>
      <w:numFmt w:val="decimal"/>
      <w:pStyle w:val="Heading1"/>
      <w:suff w:val="nothing"/>
      <w:lvlText w:val="%1"/>
      <w:lvlJc w:val="left"/>
      <w:pPr>
        <w:ind w:left="270" w:firstLine="0"/>
      </w:pPr>
      <w:rPr>
        <w:rFonts w:ascii="Arial" w:hAnsi="Arial" w:hint="default"/>
        <w:b/>
        <w:i/>
        <w:sz w:val="72"/>
      </w:rPr>
    </w:lvl>
    <w:lvl w:ilvl="1">
      <w:start w:val="1"/>
      <w:numFmt w:val="decimal"/>
      <w:pStyle w:val="Heading2"/>
      <w:suff w:val="nothing"/>
      <w:lvlText w:val="%1.%2  "/>
      <w:lvlJc w:val="left"/>
      <w:pPr>
        <w:ind w:left="270" w:firstLine="0"/>
      </w:pPr>
      <w:rPr>
        <w:rFonts w:ascii="Arial" w:hAnsi="Arial" w:hint="default"/>
        <w:b/>
        <w:i w:val="0"/>
        <w:sz w:val="28"/>
      </w:rPr>
    </w:lvl>
    <w:lvl w:ilvl="2">
      <w:start w:val="1"/>
      <w:numFmt w:val="decimal"/>
      <w:pStyle w:val="Heading3"/>
      <w:suff w:val="nothing"/>
      <w:lvlText w:val="%1.%2.%3  "/>
      <w:lvlJc w:val="left"/>
      <w:pPr>
        <w:ind w:left="270" w:firstLine="0"/>
      </w:pPr>
      <w:rPr>
        <w:rFonts w:hint="default"/>
      </w:rPr>
    </w:lvl>
    <w:lvl w:ilvl="3">
      <w:start w:val="1"/>
      <w:numFmt w:val="none"/>
      <w:pStyle w:val="Heading4"/>
      <w:suff w:val="nothing"/>
      <w:lvlText w:val=""/>
      <w:lvlJc w:val="left"/>
      <w:pPr>
        <w:ind w:left="270" w:firstLine="0"/>
      </w:pPr>
      <w:rPr>
        <w:rFonts w:hint="default"/>
      </w:rPr>
    </w:lvl>
    <w:lvl w:ilvl="4">
      <w:start w:val="1"/>
      <w:numFmt w:val="none"/>
      <w:pStyle w:val="Heading5"/>
      <w:suff w:val="nothing"/>
      <w:lvlText w:val=""/>
      <w:lvlJc w:val="left"/>
      <w:pPr>
        <w:ind w:left="270" w:firstLine="0"/>
      </w:pPr>
      <w:rPr>
        <w:rFonts w:hint="default"/>
      </w:rPr>
    </w:lvl>
    <w:lvl w:ilvl="5">
      <w:start w:val="1"/>
      <w:numFmt w:val="none"/>
      <w:pStyle w:val="Heading6"/>
      <w:suff w:val="nothing"/>
      <w:lvlText w:val=""/>
      <w:lvlJc w:val="left"/>
      <w:pPr>
        <w:ind w:left="270" w:firstLine="0"/>
      </w:pPr>
      <w:rPr>
        <w:rFonts w:hint="default"/>
      </w:rPr>
    </w:lvl>
    <w:lvl w:ilvl="6">
      <w:start w:val="1"/>
      <w:numFmt w:val="none"/>
      <w:pStyle w:val="Heading7"/>
      <w:suff w:val="nothing"/>
      <w:lvlText w:val=""/>
      <w:lvlJc w:val="left"/>
      <w:pPr>
        <w:ind w:left="270" w:firstLine="0"/>
      </w:pPr>
      <w:rPr>
        <w:rFonts w:hint="default"/>
      </w:rPr>
    </w:lvl>
    <w:lvl w:ilvl="7">
      <w:start w:val="1"/>
      <w:numFmt w:val="none"/>
      <w:pStyle w:val="Heading8"/>
      <w:suff w:val="nothing"/>
      <w:lvlText w:val=""/>
      <w:lvlJc w:val="left"/>
      <w:pPr>
        <w:ind w:left="270" w:firstLine="0"/>
      </w:pPr>
      <w:rPr>
        <w:rFonts w:hint="default"/>
      </w:rPr>
    </w:lvl>
    <w:lvl w:ilvl="8">
      <w:start w:val="1"/>
      <w:numFmt w:val="none"/>
      <w:pStyle w:val="Heading9"/>
      <w:suff w:val="nothing"/>
      <w:lvlText w:val=""/>
      <w:lvlJc w:val="left"/>
      <w:pPr>
        <w:ind w:left="270" w:firstLine="0"/>
      </w:pPr>
      <w:rPr>
        <w:rFonts w:hint="default"/>
      </w:rPr>
    </w:lvl>
  </w:abstractNum>
  <w:abstractNum w:abstractNumId="2">
    <w:nsid w:val="01887F52"/>
    <w:multiLevelType w:val="multilevel"/>
    <w:tmpl w:val="67F0C0C4"/>
    <w:numStyleLink w:val="CnAListBullets"/>
  </w:abstractNum>
  <w:abstractNum w:abstractNumId="3">
    <w:nsid w:val="2A5707EA"/>
    <w:multiLevelType w:val="multilevel"/>
    <w:tmpl w:val="67F0C0C4"/>
    <w:styleLink w:val="CnAListBullets"/>
    <w:lvl w:ilvl="0">
      <w:start w:val="1"/>
      <w:numFmt w:val="bullet"/>
      <w:lvlText w:val=""/>
      <w:lvlJc w:val="left"/>
      <w:pPr>
        <w:ind w:left="720" w:hanging="432"/>
      </w:pPr>
      <w:rPr>
        <w:rFonts w:ascii="Wingdings" w:hAnsi="Wingdings" w:hint="default"/>
        <w:sz w:val="16"/>
      </w:rPr>
    </w:lvl>
    <w:lvl w:ilvl="1">
      <w:start w:val="1"/>
      <w:numFmt w:val="bullet"/>
      <w:lvlText w:val="─"/>
      <w:lvlJc w:val="left"/>
      <w:pPr>
        <w:ind w:left="1152" w:hanging="432"/>
      </w:pPr>
      <w:rPr>
        <w:rFonts w:ascii="Times New Roman" w:hAnsi="Times New Roman" w:cs="Times New Roman" w:hint="default"/>
        <w:b/>
        <w:sz w:val="24"/>
      </w:rPr>
    </w:lvl>
    <w:lvl w:ilvl="2">
      <w:start w:val="1"/>
      <w:numFmt w:val="bullet"/>
      <w:lvlText w:val="-"/>
      <w:lvlJc w:val="left"/>
      <w:pPr>
        <w:ind w:left="1584" w:hanging="432"/>
      </w:pPr>
      <w:rPr>
        <w:rFonts w:ascii="Times New Roman" w:hAnsi="Times New Roman" w:cs="Times New Roman" w:hint="default"/>
        <w:sz w:val="24"/>
      </w:rPr>
    </w:lvl>
    <w:lvl w:ilvl="3">
      <w:start w:val="1"/>
      <w:numFmt w:val="bullet"/>
      <w:lvlText w:val=""/>
      <w:lvlJc w:val="left"/>
      <w:pPr>
        <w:ind w:left="2016" w:hanging="432"/>
      </w:pPr>
      <w:rPr>
        <w:rFonts w:ascii="Symbol" w:hAnsi="Symbol" w:hint="default"/>
      </w:rPr>
    </w:lvl>
    <w:lvl w:ilvl="4">
      <w:start w:val="1"/>
      <w:numFmt w:val="bullet"/>
      <w:lvlText w:val=""/>
      <w:lvlJc w:val="left"/>
      <w:pPr>
        <w:ind w:left="2448" w:hanging="432"/>
      </w:pPr>
      <w:rPr>
        <w:rFonts w:ascii="Symbol" w:hAnsi="Symbol" w:hint="default"/>
      </w:rPr>
    </w:lvl>
    <w:lvl w:ilvl="5">
      <w:start w:val="1"/>
      <w:numFmt w:val="bullet"/>
      <w:lvlText w:val=""/>
      <w:lvlJc w:val="left"/>
      <w:pPr>
        <w:ind w:left="2880" w:hanging="432"/>
      </w:pPr>
      <w:rPr>
        <w:rFonts w:ascii="Wingdings" w:hAnsi="Wingdings" w:hint="default"/>
      </w:rPr>
    </w:lvl>
    <w:lvl w:ilvl="6">
      <w:start w:val="1"/>
      <w:numFmt w:val="bullet"/>
      <w:lvlText w:val=""/>
      <w:lvlJc w:val="left"/>
      <w:pPr>
        <w:ind w:left="3312" w:hanging="432"/>
      </w:pPr>
      <w:rPr>
        <w:rFonts w:ascii="Wingdings" w:hAnsi="Wingdings" w:hint="default"/>
      </w:rPr>
    </w:lvl>
    <w:lvl w:ilvl="7">
      <w:start w:val="1"/>
      <w:numFmt w:val="bullet"/>
      <w:lvlText w:val=""/>
      <w:lvlJc w:val="left"/>
      <w:pPr>
        <w:ind w:left="3744" w:hanging="432"/>
      </w:pPr>
      <w:rPr>
        <w:rFonts w:ascii="Symbol" w:hAnsi="Symbol" w:hint="default"/>
      </w:rPr>
    </w:lvl>
    <w:lvl w:ilvl="8">
      <w:start w:val="1"/>
      <w:numFmt w:val="bullet"/>
      <w:lvlText w:val=""/>
      <w:lvlJc w:val="left"/>
      <w:pPr>
        <w:ind w:left="4176" w:hanging="432"/>
      </w:pPr>
      <w:rPr>
        <w:rFonts w:ascii="Symbol" w:hAnsi="Symbol" w:hint="default"/>
      </w:rPr>
    </w:lvl>
  </w:abstractNum>
  <w:abstractNum w:abstractNumId="4">
    <w:nsid w:val="3E02072E"/>
    <w:multiLevelType w:val="hybridMultilevel"/>
    <w:tmpl w:val="4B8A665E"/>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CAC2684"/>
    <w:multiLevelType w:val="multilevel"/>
    <w:tmpl w:val="67F0C0C4"/>
    <w:numStyleLink w:val="CnAListBullets"/>
  </w:abstractNum>
  <w:abstractNum w:abstractNumId="6">
    <w:nsid w:val="52460A25"/>
    <w:multiLevelType w:val="multilevel"/>
    <w:tmpl w:val="67F0C0C4"/>
    <w:numStyleLink w:val="CnAListBullets"/>
  </w:abstractNum>
  <w:abstractNum w:abstractNumId="7">
    <w:nsid w:val="6ABC0982"/>
    <w:multiLevelType w:val="multilevel"/>
    <w:tmpl w:val="04090021"/>
    <w:styleLink w:val="Itron"/>
    <w:lvl w:ilvl="0">
      <w:start w:val="1"/>
      <w:numFmt w:val="bullet"/>
      <w:lvlText w:val=""/>
      <w:lvlJc w:val="left"/>
      <w:pPr>
        <w:ind w:left="1080" w:hanging="360"/>
      </w:pPr>
      <w:rPr>
        <w:rFonts w:ascii="Wingdings" w:hAnsi="Wingdings"/>
      </w:rPr>
    </w:lvl>
    <w:lvl w:ilvl="1">
      <w:start w:val="1"/>
      <w:numFmt w:val="bullet"/>
      <w:lvlText w:val="─"/>
      <w:lvlJc w:val="left"/>
      <w:pPr>
        <w:ind w:left="1800" w:hanging="360"/>
      </w:pPr>
      <w:rPr>
        <w:rFonts w:ascii="Times New Roman" w:hAnsi="Times New Roman" w:cs="Times New Roman" w:hint="default"/>
        <w:b/>
        <w:sz w:val="24"/>
      </w:rPr>
    </w:lvl>
    <w:lvl w:ilvl="2">
      <w:start w:val="1"/>
      <w:numFmt w:val="bullet"/>
      <w:lvlText w:val="-"/>
      <w:lvlJc w:val="left"/>
      <w:pPr>
        <w:ind w:left="2520" w:hanging="360"/>
      </w:pPr>
      <w:rPr>
        <w:rFonts w:ascii="Times New Roman" w:hAnsi="Times New Roman" w:cs="Times New Roman" w:hint="default"/>
        <w:sz w:val="24"/>
      </w:rPr>
    </w:lvl>
    <w:lvl w:ilvl="3">
      <w:start w:val="1"/>
      <w:numFmt w:val="bullet"/>
      <w:lvlText w:val=""/>
      <w:lvlJc w:val="left"/>
      <w:pPr>
        <w:ind w:left="3240" w:hanging="360"/>
      </w:pPr>
      <w:rPr>
        <w:rFonts w:ascii="Symbol" w:hAnsi="Symbol" w:hint="default"/>
      </w:rPr>
    </w:lvl>
    <w:lvl w:ilvl="4">
      <w:start w:val="1"/>
      <w:numFmt w:val="bullet"/>
      <w:lvlText w:val=""/>
      <w:lvlJc w:val="left"/>
      <w:pPr>
        <w:ind w:left="3960" w:hanging="360"/>
      </w:pPr>
      <w:rPr>
        <w:rFonts w:ascii="Symbol" w:hAnsi="Symbol"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Wingdings" w:hAnsi="Wingdings" w:hint="default"/>
      </w:rPr>
    </w:lvl>
    <w:lvl w:ilvl="7">
      <w:start w:val="1"/>
      <w:numFmt w:val="bullet"/>
      <w:lvlText w:val=""/>
      <w:lvlJc w:val="left"/>
      <w:pPr>
        <w:ind w:left="6120" w:hanging="360"/>
      </w:pPr>
      <w:rPr>
        <w:rFonts w:ascii="Symbol" w:hAnsi="Symbol" w:hint="default"/>
      </w:rPr>
    </w:lvl>
    <w:lvl w:ilvl="8">
      <w:start w:val="1"/>
      <w:numFmt w:val="bullet"/>
      <w:lvlText w:val=""/>
      <w:lvlJc w:val="left"/>
      <w:pPr>
        <w:ind w:left="6840" w:hanging="360"/>
      </w:pPr>
      <w:rPr>
        <w:rFonts w:ascii="Symbol" w:hAnsi="Symbol" w:hint="default"/>
      </w:rPr>
    </w:lvl>
  </w:abstractNum>
  <w:abstractNum w:abstractNumId="8">
    <w:nsid w:val="6ADB23C1"/>
    <w:multiLevelType w:val="hybridMultilevel"/>
    <w:tmpl w:val="C00C26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7"/>
  </w:num>
  <w:num w:numId="3">
    <w:abstractNumId w:val="3"/>
  </w:num>
  <w:num w:numId="4">
    <w:abstractNumId w:val="0"/>
  </w:num>
  <w:num w:numId="5">
    <w:abstractNumId w:val="4"/>
  </w:num>
  <w:num w:numId="6">
    <w:abstractNumId w:val="8"/>
  </w:num>
  <w:num w:numId="7">
    <w:abstractNumId w:val="2"/>
  </w:num>
  <w:num w:numId="8">
    <w:abstractNumId w:val="5"/>
  </w:num>
  <w:num w:numId="9">
    <w:abstractNumId w:val="6"/>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proofState w:spelling="clean" w:grammar="clean"/>
  <w:stylePaneFormatFilter w:val="3F01"/>
  <w:stylePaneSortMethod w:val="0004"/>
  <w:defaultTabStop w:val="720"/>
  <w:doNotHyphenateCaps/>
  <w:drawingGridHorizontalSpacing w:val="120"/>
  <w:drawingGridVerticalSpacing w:val="163"/>
  <w:displayHorizontalDrawingGridEvery w:val="0"/>
  <w:displayVerticalDrawingGridEvery w:val="2"/>
  <w:doNotShadeFormData/>
  <w:noPunctuationKerning/>
  <w:characterSpacingControl w:val="doNotCompress"/>
  <w:footnotePr>
    <w:footnote w:id="-1"/>
    <w:footnote w:id="0"/>
  </w:footnotePr>
  <w:endnotePr>
    <w:endnote w:id="-1"/>
    <w:endnote w:id="0"/>
  </w:endnotePr>
  <w:compat/>
  <w:rsids>
    <w:rsidRoot w:val="001A749A"/>
    <w:rsid w:val="0000112E"/>
    <w:rsid w:val="00017D18"/>
    <w:rsid w:val="00022F17"/>
    <w:rsid w:val="00025740"/>
    <w:rsid w:val="0007312F"/>
    <w:rsid w:val="00075645"/>
    <w:rsid w:val="00077287"/>
    <w:rsid w:val="00096103"/>
    <w:rsid w:val="000A3032"/>
    <w:rsid w:val="000A7C62"/>
    <w:rsid w:val="000B2BEB"/>
    <w:rsid w:val="000B7149"/>
    <w:rsid w:val="000B731D"/>
    <w:rsid w:val="000C6631"/>
    <w:rsid w:val="000D688E"/>
    <w:rsid w:val="000E34CB"/>
    <w:rsid w:val="000E539F"/>
    <w:rsid w:val="000F41A3"/>
    <w:rsid w:val="000F6968"/>
    <w:rsid w:val="0011319A"/>
    <w:rsid w:val="00127A71"/>
    <w:rsid w:val="00150886"/>
    <w:rsid w:val="00154699"/>
    <w:rsid w:val="00157EA9"/>
    <w:rsid w:val="00166A00"/>
    <w:rsid w:val="001700C4"/>
    <w:rsid w:val="001712B1"/>
    <w:rsid w:val="001A749A"/>
    <w:rsid w:val="001B177F"/>
    <w:rsid w:val="001C005E"/>
    <w:rsid w:val="001C6A00"/>
    <w:rsid w:val="001E0716"/>
    <w:rsid w:val="001E1426"/>
    <w:rsid w:val="001E32AE"/>
    <w:rsid w:val="001E7BE2"/>
    <w:rsid w:val="00205160"/>
    <w:rsid w:val="002057E7"/>
    <w:rsid w:val="00206562"/>
    <w:rsid w:val="00210FEC"/>
    <w:rsid w:val="002209EC"/>
    <w:rsid w:val="0022644C"/>
    <w:rsid w:val="00230BF7"/>
    <w:rsid w:val="00231D0B"/>
    <w:rsid w:val="00231EB1"/>
    <w:rsid w:val="00246847"/>
    <w:rsid w:val="00247593"/>
    <w:rsid w:val="00260180"/>
    <w:rsid w:val="002663FA"/>
    <w:rsid w:val="00275841"/>
    <w:rsid w:val="00282424"/>
    <w:rsid w:val="00287083"/>
    <w:rsid w:val="00292F27"/>
    <w:rsid w:val="0029764D"/>
    <w:rsid w:val="002B07BD"/>
    <w:rsid w:val="002B13C1"/>
    <w:rsid w:val="002B7BCD"/>
    <w:rsid w:val="002C6D62"/>
    <w:rsid w:val="002C7AFB"/>
    <w:rsid w:val="002D09B6"/>
    <w:rsid w:val="00310634"/>
    <w:rsid w:val="00315C37"/>
    <w:rsid w:val="00317ED5"/>
    <w:rsid w:val="00322AAC"/>
    <w:rsid w:val="003240BC"/>
    <w:rsid w:val="003255E0"/>
    <w:rsid w:val="00334BF7"/>
    <w:rsid w:val="00346291"/>
    <w:rsid w:val="00371DD6"/>
    <w:rsid w:val="00377EFB"/>
    <w:rsid w:val="003903AD"/>
    <w:rsid w:val="0039545D"/>
    <w:rsid w:val="003A2080"/>
    <w:rsid w:val="003A3041"/>
    <w:rsid w:val="003B15C1"/>
    <w:rsid w:val="003B2EC3"/>
    <w:rsid w:val="003B7D2D"/>
    <w:rsid w:val="003C2AE8"/>
    <w:rsid w:val="003E1694"/>
    <w:rsid w:val="003E6290"/>
    <w:rsid w:val="003F505C"/>
    <w:rsid w:val="003F565B"/>
    <w:rsid w:val="003F678D"/>
    <w:rsid w:val="003F72DE"/>
    <w:rsid w:val="00400DF8"/>
    <w:rsid w:val="00412B93"/>
    <w:rsid w:val="00415F0C"/>
    <w:rsid w:val="00423113"/>
    <w:rsid w:val="00427454"/>
    <w:rsid w:val="0043507D"/>
    <w:rsid w:val="0043532A"/>
    <w:rsid w:val="0043551E"/>
    <w:rsid w:val="004409B2"/>
    <w:rsid w:val="004448FD"/>
    <w:rsid w:val="00455856"/>
    <w:rsid w:val="00460BF3"/>
    <w:rsid w:val="00467A6A"/>
    <w:rsid w:val="0047130C"/>
    <w:rsid w:val="00476891"/>
    <w:rsid w:val="00480733"/>
    <w:rsid w:val="004819BB"/>
    <w:rsid w:val="00485477"/>
    <w:rsid w:val="0049581E"/>
    <w:rsid w:val="004B0FCC"/>
    <w:rsid w:val="004B46F8"/>
    <w:rsid w:val="004C2A7B"/>
    <w:rsid w:val="004C7495"/>
    <w:rsid w:val="004D31EF"/>
    <w:rsid w:val="004E0AD6"/>
    <w:rsid w:val="00504C46"/>
    <w:rsid w:val="00504CD6"/>
    <w:rsid w:val="00521A5F"/>
    <w:rsid w:val="00521A9C"/>
    <w:rsid w:val="005319FC"/>
    <w:rsid w:val="00535808"/>
    <w:rsid w:val="00541DA8"/>
    <w:rsid w:val="00543867"/>
    <w:rsid w:val="005451E7"/>
    <w:rsid w:val="005528D8"/>
    <w:rsid w:val="00552C8F"/>
    <w:rsid w:val="0055720C"/>
    <w:rsid w:val="00557A79"/>
    <w:rsid w:val="00565425"/>
    <w:rsid w:val="00565D8A"/>
    <w:rsid w:val="00573DEC"/>
    <w:rsid w:val="00574ECE"/>
    <w:rsid w:val="00580BAD"/>
    <w:rsid w:val="00584BE1"/>
    <w:rsid w:val="00587AF7"/>
    <w:rsid w:val="0059308D"/>
    <w:rsid w:val="005939CC"/>
    <w:rsid w:val="005947E7"/>
    <w:rsid w:val="005B6337"/>
    <w:rsid w:val="005D1945"/>
    <w:rsid w:val="005D4FC7"/>
    <w:rsid w:val="005D5666"/>
    <w:rsid w:val="005D596C"/>
    <w:rsid w:val="005E0347"/>
    <w:rsid w:val="005E280E"/>
    <w:rsid w:val="005E2DD3"/>
    <w:rsid w:val="005F3293"/>
    <w:rsid w:val="00603EEC"/>
    <w:rsid w:val="00610378"/>
    <w:rsid w:val="006232E8"/>
    <w:rsid w:val="00655824"/>
    <w:rsid w:val="00656A0C"/>
    <w:rsid w:val="00657787"/>
    <w:rsid w:val="00682A57"/>
    <w:rsid w:val="0068332B"/>
    <w:rsid w:val="00687A7B"/>
    <w:rsid w:val="006A4B7C"/>
    <w:rsid w:val="006A645F"/>
    <w:rsid w:val="006B7229"/>
    <w:rsid w:val="006C0097"/>
    <w:rsid w:val="006C080F"/>
    <w:rsid w:val="006D6464"/>
    <w:rsid w:val="006E1619"/>
    <w:rsid w:val="00706638"/>
    <w:rsid w:val="007113FC"/>
    <w:rsid w:val="007141BD"/>
    <w:rsid w:val="00715736"/>
    <w:rsid w:val="007316AA"/>
    <w:rsid w:val="00754D3E"/>
    <w:rsid w:val="00763661"/>
    <w:rsid w:val="00764AD4"/>
    <w:rsid w:val="00775E7E"/>
    <w:rsid w:val="00777A7C"/>
    <w:rsid w:val="00781F98"/>
    <w:rsid w:val="00783EDA"/>
    <w:rsid w:val="00790A7E"/>
    <w:rsid w:val="007B1B87"/>
    <w:rsid w:val="007B4132"/>
    <w:rsid w:val="007C08F8"/>
    <w:rsid w:val="007C6F54"/>
    <w:rsid w:val="007D5D84"/>
    <w:rsid w:val="007F06E7"/>
    <w:rsid w:val="007F13DC"/>
    <w:rsid w:val="0080485B"/>
    <w:rsid w:val="0081057C"/>
    <w:rsid w:val="008111FE"/>
    <w:rsid w:val="00811304"/>
    <w:rsid w:val="00817DEE"/>
    <w:rsid w:val="00826278"/>
    <w:rsid w:val="00826D05"/>
    <w:rsid w:val="00834959"/>
    <w:rsid w:val="008472D8"/>
    <w:rsid w:val="00857BBF"/>
    <w:rsid w:val="008646A2"/>
    <w:rsid w:val="008711B4"/>
    <w:rsid w:val="00874650"/>
    <w:rsid w:val="00875025"/>
    <w:rsid w:val="00877628"/>
    <w:rsid w:val="008813C7"/>
    <w:rsid w:val="008873D0"/>
    <w:rsid w:val="00892568"/>
    <w:rsid w:val="0089278A"/>
    <w:rsid w:val="0089429D"/>
    <w:rsid w:val="0089570F"/>
    <w:rsid w:val="008A271C"/>
    <w:rsid w:val="008C3DA3"/>
    <w:rsid w:val="008D7823"/>
    <w:rsid w:val="008E2E63"/>
    <w:rsid w:val="008E45F8"/>
    <w:rsid w:val="008F6F18"/>
    <w:rsid w:val="009073D1"/>
    <w:rsid w:val="0091065E"/>
    <w:rsid w:val="00910C31"/>
    <w:rsid w:val="00910D49"/>
    <w:rsid w:val="009325A9"/>
    <w:rsid w:val="009558AE"/>
    <w:rsid w:val="00990F68"/>
    <w:rsid w:val="00996E3E"/>
    <w:rsid w:val="009A181C"/>
    <w:rsid w:val="009A4721"/>
    <w:rsid w:val="009A749A"/>
    <w:rsid w:val="009B0D60"/>
    <w:rsid w:val="009B61E7"/>
    <w:rsid w:val="009C3564"/>
    <w:rsid w:val="009D0319"/>
    <w:rsid w:val="009D290C"/>
    <w:rsid w:val="009D2AA1"/>
    <w:rsid w:val="009D5A70"/>
    <w:rsid w:val="00A10EA4"/>
    <w:rsid w:val="00A12A6E"/>
    <w:rsid w:val="00A12B0C"/>
    <w:rsid w:val="00A12C80"/>
    <w:rsid w:val="00A240A6"/>
    <w:rsid w:val="00A31B8F"/>
    <w:rsid w:val="00A365BC"/>
    <w:rsid w:val="00A41A22"/>
    <w:rsid w:val="00A44E26"/>
    <w:rsid w:val="00A452B4"/>
    <w:rsid w:val="00A50622"/>
    <w:rsid w:val="00A715DD"/>
    <w:rsid w:val="00AA385B"/>
    <w:rsid w:val="00AA75FC"/>
    <w:rsid w:val="00AF01F7"/>
    <w:rsid w:val="00AF77F2"/>
    <w:rsid w:val="00B033DB"/>
    <w:rsid w:val="00B05AD1"/>
    <w:rsid w:val="00B1243A"/>
    <w:rsid w:val="00B13C56"/>
    <w:rsid w:val="00B21A11"/>
    <w:rsid w:val="00B30FAF"/>
    <w:rsid w:val="00B332C5"/>
    <w:rsid w:val="00B35DD3"/>
    <w:rsid w:val="00B46793"/>
    <w:rsid w:val="00B47148"/>
    <w:rsid w:val="00B50E5D"/>
    <w:rsid w:val="00B543DD"/>
    <w:rsid w:val="00B66B8D"/>
    <w:rsid w:val="00B67728"/>
    <w:rsid w:val="00B75DB8"/>
    <w:rsid w:val="00B80606"/>
    <w:rsid w:val="00B821A0"/>
    <w:rsid w:val="00BA106C"/>
    <w:rsid w:val="00BB1163"/>
    <w:rsid w:val="00BE68D1"/>
    <w:rsid w:val="00BF1B59"/>
    <w:rsid w:val="00BF6708"/>
    <w:rsid w:val="00C030F3"/>
    <w:rsid w:val="00C07173"/>
    <w:rsid w:val="00C40245"/>
    <w:rsid w:val="00C47AFD"/>
    <w:rsid w:val="00C76780"/>
    <w:rsid w:val="00C8408E"/>
    <w:rsid w:val="00C85E22"/>
    <w:rsid w:val="00C87E1B"/>
    <w:rsid w:val="00C90C1B"/>
    <w:rsid w:val="00C96282"/>
    <w:rsid w:val="00CA4418"/>
    <w:rsid w:val="00CA4CA6"/>
    <w:rsid w:val="00CA75C7"/>
    <w:rsid w:val="00CB5444"/>
    <w:rsid w:val="00CC1E01"/>
    <w:rsid w:val="00CC7063"/>
    <w:rsid w:val="00CD4193"/>
    <w:rsid w:val="00CE79E7"/>
    <w:rsid w:val="00CF3EC9"/>
    <w:rsid w:val="00CF4860"/>
    <w:rsid w:val="00D20389"/>
    <w:rsid w:val="00D21F89"/>
    <w:rsid w:val="00D33146"/>
    <w:rsid w:val="00D4185E"/>
    <w:rsid w:val="00D51169"/>
    <w:rsid w:val="00D5135F"/>
    <w:rsid w:val="00D72BF2"/>
    <w:rsid w:val="00D833E2"/>
    <w:rsid w:val="00D842FF"/>
    <w:rsid w:val="00D9446B"/>
    <w:rsid w:val="00DA04B7"/>
    <w:rsid w:val="00DB1B68"/>
    <w:rsid w:val="00DB3C51"/>
    <w:rsid w:val="00DC1564"/>
    <w:rsid w:val="00DC1DD9"/>
    <w:rsid w:val="00DE632E"/>
    <w:rsid w:val="00E15695"/>
    <w:rsid w:val="00E158E9"/>
    <w:rsid w:val="00E251FF"/>
    <w:rsid w:val="00E37D92"/>
    <w:rsid w:val="00E450CF"/>
    <w:rsid w:val="00E560B6"/>
    <w:rsid w:val="00E64F62"/>
    <w:rsid w:val="00E67904"/>
    <w:rsid w:val="00E70002"/>
    <w:rsid w:val="00E86B02"/>
    <w:rsid w:val="00E86B64"/>
    <w:rsid w:val="00EB2094"/>
    <w:rsid w:val="00EB5E29"/>
    <w:rsid w:val="00EC7103"/>
    <w:rsid w:val="00EC7214"/>
    <w:rsid w:val="00ED1F77"/>
    <w:rsid w:val="00ED70B2"/>
    <w:rsid w:val="00EF65A3"/>
    <w:rsid w:val="00F126C3"/>
    <w:rsid w:val="00F167F8"/>
    <w:rsid w:val="00F21DB5"/>
    <w:rsid w:val="00F30170"/>
    <w:rsid w:val="00F3759B"/>
    <w:rsid w:val="00F4292B"/>
    <w:rsid w:val="00F42A2D"/>
    <w:rsid w:val="00F54560"/>
    <w:rsid w:val="00F5676A"/>
    <w:rsid w:val="00F60F5F"/>
    <w:rsid w:val="00F634D6"/>
    <w:rsid w:val="00F63D68"/>
    <w:rsid w:val="00F70106"/>
    <w:rsid w:val="00F70F57"/>
    <w:rsid w:val="00F8041D"/>
    <w:rsid w:val="00F87DBB"/>
    <w:rsid w:val="00F9623A"/>
    <w:rsid w:val="00FB769C"/>
    <w:rsid w:val="00FC3405"/>
    <w:rsid w:val="00FC718E"/>
    <w:rsid w:val="00FF5474"/>
    <w:rsid w:val="00FF668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ms Rmn" w:eastAsia="Times New Roman" w:hAnsi="Tms Rmn" w:cs="Times New Roman"/>
        <w:lang w:val="en-US" w:eastAsia="en-US" w:bidi="ar-SA"/>
      </w:rPr>
    </w:rPrDefault>
    <w:pPrDefault>
      <w:pPr>
        <w:spacing w:after="130" w:line="320" w:lineRule="atLeast"/>
        <w:ind w:left="720" w:hanging="432"/>
        <w:jc w:val="both"/>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footnote text" w:uiPriority="99"/>
    <w:lsdException w:name="annotation text" w:uiPriority="99"/>
    <w:lsdException w:name="caption" w:qFormat="1"/>
    <w:lsdException w:name="table of figures" w:uiPriority="99"/>
    <w:lsdException w:name="footnote reference" w:uiPriority="99"/>
    <w:lsdException w:name="annotation reference" w:uiPriority="99"/>
    <w:lsdException w:name="Title" w:uiPriority="10" w:qFormat="1"/>
    <w:lsdException w:name="Default Paragraph Font" w:uiPriority="1"/>
    <w:lsdException w:name="Subtitle" w:qFormat="1"/>
    <w:lsdException w:name="Strong" w:qFormat="1"/>
    <w:lsdException w:name="Emphasis"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A749A"/>
    <w:pPr>
      <w:spacing w:after="280"/>
      <w:ind w:left="0" w:firstLine="0"/>
    </w:pPr>
    <w:rPr>
      <w:rFonts w:ascii="Times New Roman" w:hAnsi="Times New Roman"/>
      <w:sz w:val="24"/>
      <w:szCs w:val="24"/>
    </w:rPr>
  </w:style>
  <w:style w:type="paragraph" w:styleId="Heading1">
    <w:name w:val="heading 1"/>
    <w:basedOn w:val="Normal"/>
    <w:next w:val="Normal"/>
    <w:qFormat/>
    <w:rsid w:val="00DE632E"/>
    <w:pPr>
      <w:keepNext/>
      <w:numPr>
        <w:numId w:val="1"/>
      </w:numPr>
      <w:pBdr>
        <w:bottom w:val="single" w:sz="12" w:space="26" w:color="auto"/>
      </w:pBdr>
      <w:spacing w:after="240"/>
      <w:jc w:val="left"/>
      <w:outlineLvl w:val="0"/>
    </w:pPr>
    <w:rPr>
      <w:rFonts w:ascii="Arial" w:hAnsi="Arial" w:cs="Arial"/>
      <w:b/>
      <w:bCs/>
      <w:sz w:val="36"/>
      <w:szCs w:val="36"/>
    </w:rPr>
  </w:style>
  <w:style w:type="paragraph" w:styleId="Heading2">
    <w:name w:val="heading 2"/>
    <w:basedOn w:val="Normal"/>
    <w:next w:val="Normal"/>
    <w:qFormat/>
    <w:rsid w:val="00D20389"/>
    <w:pPr>
      <w:keepNext/>
      <w:numPr>
        <w:ilvl w:val="1"/>
        <w:numId w:val="1"/>
      </w:numPr>
      <w:spacing w:before="480" w:after="180"/>
      <w:ind w:left="0"/>
      <w:jc w:val="left"/>
      <w:outlineLvl w:val="1"/>
    </w:pPr>
    <w:rPr>
      <w:rFonts w:ascii="Arial" w:eastAsiaTheme="minorHAnsi" w:hAnsi="Arial" w:cs="Arial"/>
      <w:b/>
      <w:bCs/>
      <w:sz w:val="28"/>
      <w:szCs w:val="28"/>
    </w:rPr>
  </w:style>
  <w:style w:type="paragraph" w:styleId="Heading3">
    <w:name w:val="heading 3"/>
    <w:basedOn w:val="Normal"/>
    <w:next w:val="Normal"/>
    <w:autoRedefine/>
    <w:qFormat/>
    <w:rsid w:val="00DE632E"/>
    <w:pPr>
      <w:keepNext/>
      <w:numPr>
        <w:ilvl w:val="2"/>
        <w:numId w:val="1"/>
      </w:numPr>
      <w:spacing w:after="180" w:line="240" w:lineRule="auto"/>
      <w:jc w:val="left"/>
      <w:outlineLvl w:val="2"/>
    </w:pPr>
    <w:rPr>
      <w:rFonts w:ascii="Arial" w:hAnsi="Arial" w:cs="Arial"/>
      <w:b/>
      <w:bCs/>
      <w:i/>
      <w:iCs/>
    </w:rPr>
  </w:style>
  <w:style w:type="paragraph" w:styleId="Heading4">
    <w:name w:val="heading 4"/>
    <w:basedOn w:val="Normal"/>
    <w:next w:val="Normal"/>
    <w:qFormat/>
    <w:rsid w:val="00DE632E"/>
    <w:pPr>
      <w:keepNext/>
      <w:keepLines/>
      <w:numPr>
        <w:ilvl w:val="3"/>
        <w:numId w:val="1"/>
      </w:numPr>
      <w:spacing w:after="180"/>
      <w:jc w:val="left"/>
      <w:outlineLvl w:val="3"/>
    </w:pPr>
    <w:rPr>
      <w:b/>
      <w:i/>
      <w:iCs/>
      <w:u w:val="single"/>
    </w:rPr>
  </w:style>
  <w:style w:type="paragraph" w:styleId="Heading5">
    <w:name w:val="heading 5"/>
    <w:basedOn w:val="Normal"/>
    <w:next w:val="Normal"/>
    <w:qFormat/>
    <w:rsid w:val="00DE632E"/>
    <w:pPr>
      <w:keepNext/>
      <w:keepLines/>
      <w:numPr>
        <w:ilvl w:val="4"/>
        <w:numId w:val="1"/>
      </w:numPr>
      <w:outlineLvl w:val="4"/>
    </w:pPr>
    <w:rPr>
      <w:rFonts w:cs="Arial"/>
      <w:bCs/>
      <w:i/>
      <w:u w:val="single"/>
    </w:rPr>
  </w:style>
  <w:style w:type="paragraph" w:styleId="Heading6">
    <w:name w:val="heading 6"/>
    <w:basedOn w:val="Heading1"/>
    <w:next w:val="Normal"/>
    <w:qFormat/>
    <w:rsid w:val="00D842FF"/>
    <w:pPr>
      <w:numPr>
        <w:ilvl w:val="5"/>
      </w:numPr>
      <w:pBdr>
        <w:bottom w:val="none" w:sz="0" w:space="0" w:color="auto"/>
      </w:pBdr>
      <w:tabs>
        <w:tab w:val="left" w:pos="2880"/>
      </w:tabs>
      <w:spacing w:after="120"/>
      <w:outlineLvl w:val="5"/>
    </w:pPr>
    <w:rPr>
      <w:rFonts w:ascii="Times New Roman" w:hAnsi="Times New Roman"/>
      <w:sz w:val="24"/>
      <w:szCs w:val="24"/>
    </w:rPr>
  </w:style>
  <w:style w:type="paragraph" w:styleId="Heading7">
    <w:name w:val="heading 7"/>
    <w:basedOn w:val="Heading1"/>
    <w:next w:val="Normal"/>
    <w:qFormat/>
    <w:rsid w:val="00D842FF"/>
    <w:pPr>
      <w:numPr>
        <w:ilvl w:val="6"/>
      </w:numPr>
      <w:tabs>
        <w:tab w:val="left" w:pos="3456"/>
      </w:tabs>
      <w:outlineLvl w:val="6"/>
    </w:pPr>
  </w:style>
  <w:style w:type="paragraph" w:styleId="Heading8">
    <w:name w:val="heading 8"/>
    <w:basedOn w:val="Normal"/>
    <w:next w:val="Normal"/>
    <w:qFormat/>
    <w:rsid w:val="00DE632E"/>
    <w:pPr>
      <w:numPr>
        <w:ilvl w:val="7"/>
        <w:numId w:val="1"/>
      </w:numPr>
      <w:outlineLvl w:val="7"/>
    </w:pPr>
    <w:rPr>
      <w:rFonts w:ascii="Tms Rmn" w:hAnsi="Tms Rmn"/>
      <w:i/>
      <w:iCs/>
      <w:sz w:val="20"/>
      <w:szCs w:val="20"/>
    </w:rPr>
  </w:style>
  <w:style w:type="paragraph" w:styleId="Heading9">
    <w:name w:val="heading 9"/>
    <w:basedOn w:val="Normal"/>
    <w:next w:val="Normal"/>
    <w:qFormat/>
    <w:rsid w:val="00DE632E"/>
    <w:pPr>
      <w:numPr>
        <w:ilvl w:val="8"/>
        <w:numId w:val="1"/>
      </w:numPr>
      <w:outlineLvl w:val="8"/>
    </w:pPr>
    <w:rPr>
      <w:rFonts w:ascii="Tms Rmn" w:hAnsi="Tms Rmn"/>
      <w:i/>
      <w:i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J">
    <w:name w:val="pJ"/>
    <w:next w:val="Normal"/>
    <w:rsid w:val="00D842FF"/>
    <w:rPr>
      <w:rFonts w:ascii="Times New Roman" w:hAnsi="Times New Roman"/>
      <w:sz w:val="24"/>
      <w:szCs w:val="24"/>
    </w:rPr>
  </w:style>
  <w:style w:type="paragraph" w:customStyle="1" w:styleId="pB">
    <w:name w:val="pB"/>
    <w:basedOn w:val="Normal"/>
    <w:rsid w:val="0011319A"/>
    <w:pPr>
      <w:tabs>
        <w:tab w:val="left" w:pos="720"/>
        <w:tab w:val="left" w:pos="1080"/>
      </w:tabs>
      <w:ind w:right="288"/>
    </w:pPr>
  </w:style>
  <w:style w:type="paragraph" w:customStyle="1" w:styleId="pF">
    <w:name w:val="pF"/>
    <w:rsid w:val="0011319A"/>
    <w:rPr>
      <w:rFonts w:ascii="Times New Roman" w:hAnsi="Times New Roman"/>
      <w:sz w:val="24"/>
      <w:szCs w:val="24"/>
    </w:rPr>
  </w:style>
  <w:style w:type="paragraph" w:customStyle="1" w:styleId="pS">
    <w:name w:val="pS"/>
    <w:rsid w:val="00D842FF"/>
    <w:pPr>
      <w:tabs>
        <w:tab w:val="left" w:pos="720"/>
        <w:tab w:val="left" w:pos="1080"/>
      </w:tabs>
      <w:ind w:right="288"/>
    </w:pPr>
    <w:rPr>
      <w:rFonts w:ascii="Times New Roman" w:hAnsi="Times New Roman"/>
      <w:sz w:val="24"/>
      <w:szCs w:val="24"/>
    </w:rPr>
  </w:style>
  <w:style w:type="paragraph" w:customStyle="1" w:styleId="pD">
    <w:name w:val="pD"/>
    <w:basedOn w:val="pF"/>
    <w:rsid w:val="00D842FF"/>
    <w:pPr>
      <w:tabs>
        <w:tab w:val="left" w:pos="1152"/>
      </w:tabs>
      <w:spacing w:before="60" w:line="280" w:lineRule="atLeast"/>
      <w:ind w:left="1152" w:right="288"/>
    </w:pPr>
  </w:style>
  <w:style w:type="paragraph" w:customStyle="1" w:styleId="pE">
    <w:name w:val="pE"/>
    <w:basedOn w:val="pD"/>
    <w:rsid w:val="00D842FF"/>
    <w:pPr>
      <w:tabs>
        <w:tab w:val="clear" w:pos="1152"/>
      </w:tabs>
      <w:spacing w:line="240" w:lineRule="atLeast"/>
      <w:ind w:left="1440" w:hanging="288"/>
    </w:pPr>
  </w:style>
  <w:style w:type="paragraph" w:styleId="Header">
    <w:name w:val="header"/>
    <w:basedOn w:val="pF"/>
    <w:rsid w:val="009D0319"/>
    <w:pPr>
      <w:pBdr>
        <w:bottom w:val="single" w:sz="12" w:space="1" w:color="auto"/>
      </w:pBdr>
      <w:tabs>
        <w:tab w:val="right" w:pos="9000"/>
      </w:tabs>
      <w:spacing w:after="0"/>
      <w:ind w:left="0" w:firstLine="0"/>
      <w:jc w:val="center"/>
    </w:pPr>
    <w:rPr>
      <w:rFonts w:ascii="Tms Rmn" w:hAnsi="Tms Rmn"/>
      <w:i/>
      <w:iCs/>
    </w:rPr>
  </w:style>
  <w:style w:type="paragraph" w:styleId="Footer">
    <w:name w:val="footer"/>
    <w:basedOn w:val="Header"/>
    <w:rsid w:val="0047130C"/>
    <w:pPr>
      <w:pBdr>
        <w:top w:val="single" w:sz="12" w:space="1" w:color="auto"/>
        <w:bottom w:val="none" w:sz="0" w:space="0" w:color="auto"/>
      </w:pBdr>
      <w:tabs>
        <w:tab w:val="clear" w:pos="9000"/>
        <w:tab w:val="center" w:pos="4680"/>
        <w:tab w:val="right" w:pos="9360"/>
      </w:tabs>
      <w:jc w:val="left"/>
    </w:pPr>
  </w:style>
  <w:style w:type="character" w:styleId="FootnoteReference">
    <w:name w:val="footnote reference"/>
    <w:basedOn w:val="DefaultParagraphFont"/>
    <w:uiPriority w:val="99"/>
    <w:rsid w:val="00D842FF"/>
    <w:rPr>
      <w:position w:val="6"/>
      <w:sz w:val="16"/>
      <w:szCs w:val="16"/>
    </w:rPr>
  </w:style>
  <w:style w:type="paragraph" w:styleId="FootnoteText">
    <w:name w:val="footnote text"/>
    <w:basedOn w:val="Normal"/>
    <w:link w:val="FootnoteTextChar"/>
    <w:autoRedefine/>
    <w:uiPriority w:val="99"/>
    <w:rsid w:val="008646A2"/>
    <w:pPr>
      <w:tabs>
        <w:tab w:val="left" w:pos="288"/>
      </w:tabs>
      <w:spacing w:after="60" w:line="240" w:lineRule="atLeast"/>
      <w:ind w:left="288" w:hanging="288"/>
    </w:pPr>
    <w:rPr>
      <w:rFonts w:ascii="Tms Rmn" w:hAnsi="Tms Rmn"/>
      <w:sz w:val="20"/>
      <w:szCs w:val="20"/>
    </w:rPr>
  </w:style>
  <w:style w:type="paragraph" w:styleId="Index1">
    <w:name w:val="index 1"/>
    <w:basedOn w:val="Normal"/>
    <w:next w:val="Normal"/>
    <w:rsid w:val="00D842FF"/>
    <w:rPr>
      <w:rFonts w:ascii="Tms Rmn" w:hAnsi="Tms Rmn"/>
    </w:rPr>
  </w:style>
  <w:style w:type="paragraph" w:styleId="Index2">
    <w:name w:val="index 2"/>
    <w:basedOn w:val="Normal"/>
    <w:next w:val="Normal"/>
    <w:rsid w:val="00D842FF"/>
    <w:pPr>
      <w:ind w:left="360"/>
    </w:pPr>
    <w:rPr>
      <w:rFonts w:ascii="Tms Rmn" w:hAnsi="Tms Rmn"/>
    </w:rPr>
  </w:style>
  <w:style w:type="paragraph" w:styleId="Index3">
    <w:name w:val="index 3"/>
    <w:basedOn w:val="Normal"/>
    <w:next w:val="Normal"/>
    <w:rsid w:val="00D842FF"/>
    <w:rPr>
      <w:rFonts w:ascii="Tms Rmn" w:hAnsi="Tms Rmn"/>
    </w:rPr>
  </w:style>
  <w:style w:type="paragraph" w:styleId="Index4">
    <w:name w:val="index 4"/>
    <w:basedOn w:val="Normal"/>
    <w:next w:val="Normal"/>
    <w:rsid w:val="00D842FF"/>
    <w:rPr>
      <w:rFonts w:ascii="Tms Rmn" w:hAnsi="Tms Rmn"/>
    </w:rPr>
  </w:style>
  <w:style w:type="paragraph" w:styleId="Index5">
    <w:name w:val="index 5"/>
    <w:basedOn w:val="Normal"/>
    <w:next w:val="Normal"/>
    <w:rsid w:val="00D842FF"/>
    <w:pPr>
      <w:ind w:left="1440"/>
    </w:pPr>
    <w:rPr>
      <w:rFonts w:ascii="Tms Rmn" w:hAnsi="Tms Rmn"/>
    </w:rPr>
  </w:style>
  <w:style w:type="paragraph" w:styleId="Index6">
    <w:name w:val="index 6"/>
    <w:basedOn w:val="Normal"/>
    <w:next w:val="Normal"/>
    <w:rsid w:val="00D842FF"/>
    <w:pPr>
      <w:ind w:left="1800"/>
    </w:pPr>
    <w:rPr>
      <w:rFonts w:ascii="Tms Rmn" w:hAnsi="Tms Rmn"/>
    </w:rPr>
  </w:style>
  <w:style w:type="paragraph" w:styleId="Index7">
    <w:name w:val="index 7"/>
    <w:basedOn w:val="Normal"/>
    <w:next w:val="Normal"/>
    <w:rsid w:val="00D842FF"/>
    <w:pPr>
      <w:ind w:left="2160"/>
    </w:pPr>
    <w:rPr>
      <w:rFonts w:ascii="Tms Rmn" w:hAnsi="Tms Rmn"/>
    </w:rPr>
  </w:style>
  <w:style w:type="paragraph" w:styleId="IndexHeading">
    <w:name w:val="index heading"/>
    <w:basedOn w:val="Normal"/>
    <w:next w:val="Index1"/>
    <w:rsid w:val="00D842FF"/>
    <w:rPr>
      <w:rFonts w:ascii="Tms Rmn" w:hAnsi="Tms Rmn"/>
    </w:rPr>
  </w:style>
  <w:style w:type="character" w:styleId="LineNumber">
    <w:name w:val="line number"/>
    <w:basedOn w:val="DefaultParagraphFont"/>
    <w:rsid w:val="00D842FF"/>
  </w:style>
  <w:style w:type="paragraph" w:customStyle="1" w:styleId="pA">
    <w:name w:val="pA"/>
    <w:rsid w:val="0011319A"/>
    <w:pPr>
      <w:spacing w:line="130" w:lineRule="exact"/>
    </w:pPr>
    <w:rPr>
      <w:rFonts w:ascii="Times New Roman" w:hAnsi="Times New Roman"/>
      <w:sz w:val="24"/>
      <w:szCs w:val="24"/>
    </w:rPr>
  </w:style>
  <w:style w:type="paragraph" w:customStyle="1" w:styleId="pG">
    <w:name w:val="pG"/>
    <w:basedOn w:val="Normal"/>
    <w:rsid w:val="008E2E63"/>
    <w:pPr>
      <w:keepNext/>
      <w:spacing w:after="130"/>
      <w:ind w:left="720" w:hanging="432"/>
    </w:pPr>
    <w:rPr>
      <w:rFonts w:ascii="Arial" w:hAnsi="Arial" w:cs="Arial"/>
      <w:b/>
      <w:bCs/>
    </w:rPr>
  </w:style>
  <w:style w:type="paragraph" w:customStyle="1" w:styleId="pT">
    <w:name w:val="pT"/>
    <w:basedOn w:val="Normal"/>
    <w:rsid w:val="008E2E63"/>
    <w:pPr>
      <w:keepNext/>
      <w:spacing w:after="130"/>
      <w:ind w:left="720" w:hanging="432"/>
    </w:pPr>
    <w:rPr>
      <w:rFonts w:ascii="Arial" w:hAnsi="Arial" w:cs="Arial"/>
      <w:b/>
      <w:bCs/>
    </w:rPr>
  </w:style>
  <w:style w:type="paragraph" w:customStyle="1" w:styleId="pX">
    <w:name w:val="pX"/>
    <w:basedOn w:val="pF"/>
    <w:rsid w:val="00D842FF"/>
    <w:pPr>
      <w:spacing w:line="240" w:lineRule="atLeast"/>
    </w:pPr>
  </w:style>
  <w:style w:type="paragraph" w:customStyle="1" w:styleId="TitlePage">
    <w:name w:val="Title Page"/>
    <w:basedOn w:val="Normal"/>
    <w:rsid w:val="008E2E63"/>
    <w:pPr>
      <w:spacing w:after="130"/>
      <w:ind w:left="1440" w:right="1440" w:hanging="432"/>
      <w:jc w:val="center"/>
    </w:pPr>
    <w:rPr>
      <w:rFonts w:ascii="Arial" w:hAnsi="Arial" w:cs="Arial"/>
      <w:b/>
      <w:bCs/>
      <w:sz w:val="36"/>
      <w:szCs w:val="36"/>
    </w:rPr>
  </w:style>
  <w:style w:type="paragraph" w:styleId="TOC1">
    <w:name w:val="toc 1"/>
    <w:basedOn w:val="pF"/>
    <w:next w:val="Normal"/>
    <w:uiPriority w:val="39"/>
    <w:rsid w:val="00E37D92"/>
    <w:pPr>
      <w:tabs>
        <w:tab w:val="right" w:leader="dot" w:pos="9000"/>
      </w:tabs>
      <w:spacing w:before="120" w:line="240" w:lineRule="auto"/>
      <w:ind w:left="0" w:right="360" w:firstLine="0"/>
    </w:pPr>
    <w:rPr>
      <w:rFonts w:ascii="Arial" w:hAnsi="Arial" w:cs="Arial"/>
      <w:b/>
      <w:bCs/>
    </w:rPr>
  </w:style>
  <w:style w:type="paragraph" w:styleId="TOC2">
    <w:name w:val="toc 2"/>
    <w:basedOn w:val="TOC1"/>
    <w:next w:val="Normal"/>
    <w:uiPriority w:val="39"/>
    <w:rsid w:val="00E37D92"/>
    <w:pPr>
      <w:spacing w:before="0" w:after="0"/>
      <w:ind w:left="864" w:right="720" w:hanging="432"/>
    </w:pPr>
    <w:rPr>
      <w:b w:val="0"/>
      <w:bCs w:val="0"/>
    </w:rPr>
  </w:style>
  <w:style w:type="paragraph" w:styleId="TOC3">
    <w:name w:val="toc 3"/>
    <w:basedOn w:val="TOC1"/>
    <w:uiPriority w:val="39"/>
    <w:rsid w:val="00E37D92"/>
    <w:pPr>
      <w:spacing w:before="0" w:after="0"/>
      <w:ind w:left="1296" w:right="720" w:hanging="432"/>
    </w:pPr>
    <w:rPr>
      <w:b w:val="0"/>
      <w:bCs w:val="0"/>
      <w:i/>
      <w:iCs/>
      <w:sz w:val="20"/>
      <w:szCs w:val="20"/>
    </w:rPr>
  </w:style>
  <w:style w:type="paragraph" w:styleId="TOC4">
    <w:name w:val="toc 4"/>
    <w:basedOn w:val="TOC1"/>
    <w:rsid w:val="00D842FF"/>
    <w:pPr>
      <w:spacing w:before="0" w:after="0"/>
    </w:pPr>
    <w:rPr>
      <w:rFonts w:cs="Times New Roman"/>
      <w:b w:val="0"/>
      <w:bCs w:val="0"/>
      <w:sz w:val="20"/>
      <w:szCs w:val="20"/>
    </w:rPr>
  </w:style>
  <w:style w:type="paragraph" w:styleId="TOC5">
    <w:name w:val="toc 5"/>
    <w:basedOn w:val="TOC4"/>
    <w:next w:val="Normal"/>
    <w:rsid w:val="00D842FF"/>
  </w:style>
  <w:style w:type="paragraph" w:styleId="EnvelopeAddress">
    <w:name w:val="envelope address"/>
    <w:basedOn w:val="Normal"/>
    <w:rsid w:val="00D842FF"/>
    <w:pPr>
      <w:framePr w:w="7920" w:h="1980" w:hRule="exact" w:hSpace="180" w:wrap="auto" w:hAnchor="page" w:xAlign="center" w:yAlign="bottom"/>
      <w:ind w:left="2880"/>
    </w:pPr>
    <w:rPr>
      <w:rFonts w:ascii="Arial Narrow" w:hAnsi="Arial Narrow"/>
      <w:smallCaps/>
    </w:rPr>
  </w:style>
  <w:style w:type="paragraph" w:customStyle="1" w:styleId="Large">
    <w:name w:val="Large"/>
    <w:basedOn w:val="pF"/>
    <w:next w:val="pF"/>
    <w:rsid w:val="00D842FF"/>
    <w:pPr>
      <w:keepNext/>
      <w:spacing w:before="480" w:after="360" w:line="720" w:lineRule="exact"/>
    </w:pPr>
    <w:rPr>
      <w:rFonts w:ascii="Arial" w:hAnsi="Arial" w:cs="Arial"/>
      <w:b/>
      <w:bCs/>
      <w:i/>
      <w:iCs/>
      <w:sz w:val="72"/>
      <w:szCs w:val="72"/>
    </w:rPr>
  </w:style>
  <w:style w:type="paragraph" w:styleId="ListBullet">
    <w:name w:val="List Bullet"/>
    <w:basedOn w:val="Normal"/>
    <w:rsid w:val="00D842FF"/>
    <w:pPr>
      <w:ind w:left="360"/>
    </w:pPr>
  </w:style>
  <w:style w:type="paragraph" w:customStyle="1" w:styleId="pA2">
    <w:name w:val="pA2"/>
    <w:basedOn w:val="pA"/>
    <w:next w:val="pA"/>
    <w:rsid w:val="0011319A"/>
  </w:style>
  <w:style w:type="paragraph" w:styleId="Caption">
    <w:name w:val="caption"/>
    <w:basedOn w:val="Normal"/>
    <w:next w:val="Normal"/>
    <w:autoRedefine/>
    <w:qFormat/>
    <w:rsid w:val="009D0319"/>
    <w:pPr>
      <w:keepNext/>
      <w:keepLines/>
      <w:spacing w:before="120" w:after="120"/>
      <w:jc w:val="left"/>
    </w:pPr>
    <w:rPr>
      <w:rFonts w:ascii="Arial" w:hAnsi="Arial" w:cs="Arial"/>
      <w:b/>
      <w:bCs/>
    </w:rPr>
  </w:style>
  <w:style w:type="paragraph" w:customStyle="1" w:styleId="resumeparagraph">
    <w:name w:val="resume paragraph"/>
    <w:rsid w:val="00D842FF"/>
    <w:pPr>
      <w:spacing w:before="100" w:line="240" w:lineRule="exact"/>
      <w:ind w:hanging="288"/>
    </w:pPr>
    <w:rPr>
      <w:rFonts w:ascii="Times New Roman" w:hAnsi="Times New Roman"/>
      <w:sz w:val="24"/>
      <w:szCs w:val="24"/>
    </w:rPr>
  </w:style>
  <w:style w:type="paragraph" w:customStyle="1" w:styleId="Headline">
    <w:name w:val="Headline"/>
    <w:basedOn w:val="Normal"/>
    <w:rsid w:val="00D842FF"/>
    <w:pPr>
      <w:spacing w:line="240" w:lineRule="auto"/>
    </w:pPr>
    <w:rPr>
      <w:b/>
      <w:bCs/>
      <w:sz w:val="36"/>
      <w:szCs w:val="36"/>
    </w:rPr>
  </w:style>
  <w:style w:type="paragraph" w:customStyle="1" w:styleId="projtitle">
    <w:name w:val="projtitle"/>
    <w:basedOn w:val="Normal"/>
    <w:next w:val="Normal"/>
    <w:rsid w:val="00D842FF"/>
    <w:pPr>
      <w:keepNext/>
      <w:keepLines/>
      <w:tabs>
        <w:tab w:val="left" w:pos="720"/>
        <w:tab w:val="left" w:pos="1080"/>
      </w:tabs>
      <w:spacing w:line="280" w:lineRule="exact"/>
      <w:ind w:left="288" w:right="288"/>
    </w:pPr>
    <w:rPr>
      <w:b/>
      <w:bCs/>
      <w:i/>
      <w:iCs/>
    </w:rPr>
  </w:style>
  <w:style w:type="paragraph" w:customStyle="1" w:styleId="summary">
    <w:name w:val="summary"/>
    <w:basedOn w:val="pB"/>
    <w:next w:val="projtitle"/>
    <w:rsid w:val="00D842FF"/>
    <w:pPr>
      <w:tabs>
        <w:tab w:val="clear" w:pos="720"/>
        <w:tab w:val="clear" w:pos="1080"/>
        <w:tab w:val="left" w:pos="-1170"/>
      </w:tabs>
      <w:spacing w:after="240"/>
    </w:pPr>
  </w:style>
  <w:style w:type="paragraph" w:customStyle="1" w:styleId="Contact">
    <w:name w:val="Contact"/>
    <w:basedOn w:val="Normal"/>
    <w:next w:val="summary"/>
    <w:rsid w:val="00D842FF"/>
    <w:pPr>
      <w:keepNext/>
      <w:keepLines/>
      <w:tabs>
        <w:tab w:val="left" w:pos="720"/>
        <w:tab w:val="left" w:pos="1080"/>
      </w:tabs>
      <w:spacing w:line="280" w:lineRule="exact"/>
      <w:ind w:left="1152" w:right="288"/>
    </w:pPr>
  </w:style>
  <w:style w:type="paragraph" w:customStyle="1" w:styleId="question">
    <w:name w:val="question"/>
    <w:basedOn w:val="pF"/>
    <w:rsid w:val="00D842FF"/>
    <w:pPr>
      <w:ind w:hanging="720"/>
    </w:pPr>
  </w:style>
  <w:style w:type="paragraph" w:styleId="TOC6">
    <w:name w:val="toc 6"/>
    <w:basedOn w:val="Normal"/>
    <w:next w:val="Normal"/>
    <w:rsid w:val="00D842FF"/>
    <w:pPr>
      <w:tabs>
        <w:tab w:val="right" w:leader="dot" w:pos="9000"/>
      </w:tabs>
      <w:spacing w:line="240" w:lineRule="auto"/>
      <w:ind w:left="1200"/>
    </w:pPr>
  </w:style>
  <w:style w:type="paragraph" w:customStyle="1" w:styleId="Variabledefinition">
    <w:name w:val="Variable definition"/>
    <w:basedOn w:val="pD"/>
    <w:rsid w:val="00D842FF"/>
    <w:pPr>
      <w:tabs>
        <w:tab w:val="left" w:pos="720"/>
        <w:tab w:val="left" w:pos="1440"/>
        <w:tab w:val="left" w:pos="2160"/>
      </w:tabs>
      <w:ind w:left="2520" w:hanging="1800"/>
    </w:pPr>
    <w:rPr>
      <w:i/>
      <w:iCs/>
    </w:rPr>
  </w:style>
  <w:style w:type="paragraph" w:customStyle="1" w:styleId="tablefootnote">
    <w:name w:val="table footnote"/>
    <w:basedOn w:val="Normal"/>
    <w:link w:val="tablefootnoteChar"/>
    <w:rsid w:val="008E2E63"/>
    <w:pPr>
      <w:keepNext/>
      <w:keepLines/>
      <w:tabs>
        <w:tab w:val="left" w:pos="274"/>
      </w:tabs>
      <w:spacing w:before="60" w:after="0" w:line="240" w:lineRule="auto"/>
      <w:ind w:left="274" w:hanging="274"/>
    </w:pPr>
    <w:rPr>
      <w:sz w:val="20"/>
      <w:szCs w:val="20"/>
    </w:rPr>
  </w:style>
  <w:style w:type="paragraph" w:styleId="TableofFigures">
    <w:name w:val="table of figures"/>
    <w:basedOn w:val="Normal"/>
    <w:next w:val="Normal"/>
    <w:uiPriority w:val="99"/>
    <w:rsid w:val="00F70106"/>
    <w:pPr>
      <w:tabs>
        <w:tab w:val="right" w:leader="dot" w:pos="9000"/>
      </w:tabs>
      <w:spacing w:before="120" w:after="130" w:line="240" w:lineRule="auto"/>
      <w:ind w:left="475" w:right="720" w:hanging="475"/>
    </w:pPr>
    <w:rPr>
      <w:rFonts w:ascii="Arial" w:hAnsi="Arial" w:cs="Arial"/>
    </w:rPr>
  </w:style>
  <w:style w:type="paragraph" w:styleId="BalloonText">
    <w:name w:val="Balloon Text"/>
    <w:basedOn w:val="Normal"/>
    <w:rsid w:val="00D842FF"/>
    <w:rPr>
      <w:rFonts w:ascii="Tahoma" w:hAnsi="Tahoma" w:cs="Tahoma"/>
      <w:sz w:val="16"/>
      <w:szCs w:val="16"/>
    </w:rPr>
  </w:style>
  <w:style w:type="character" w:styleId="CommentReference">
    <w:name w:val="annotation reference"/>
    <w:basedOn w:val="DefaultParagraphFont"/>
    <w:uiPriority w:val="99"/>
    <w:rsid w:val="00D842FF"/>
    <w:rPr>
      <w:sz w:val="16"/>
    </w:rPr>
  </w:style>
  <w:style w:type="paragraph" w:styleId="CommentText">
    <w:name w:val="annotation text"/>
    <w:basedOn w:val="Normal"/>
    <w:link w:val="CommentTextChar"/>
    <w:uiPriority w:val="99"/>
    <w:rsid w:val="00D842FF"/>
    <w:rPr>
      <w:sz w:val="20"/>
      <w:szCs w:val="20"/>
    </w:rPr>
  </w:style>
  <w:style w:type="paragraph" w:styleId="CommentSubject">
    <w:name w:val="annotation subject"/>
    <w:basedOn w:val="CommentText"/>
    <w:next w:val="CommentText"/>
    <w:rsid w:val="00D842FF"/>
    <w:rPr>
      <w:b/>
      <w:bCs/>
    </w:rPr>
  </w:style>
  <w:style w:type="paragraph" w:styleId="DocumentMap">
    <w:name w:val="Document Map"/>
    <w:basedOn w:val="Normal"/>
    <w:rsid w:val="00D842FF"/>
    <w:pPr>
      <w:shd w:val="clear" w:color="auto" w:fill="000080"/>
    </w:pPr>
    <w:rPr>
      <w:rFonts w:ascii="Tahoma" w:hAnsi="Tahoma" w:cs="Tahoma"/>
    </w:rPr>
  </w:style>
  <w:style w:type="character" w:styleId="PageNumber">
    <w:name w:val="page number"/>
    <w:basedOn w:val="DefaultParagraphFont"/>
    <w:rsid w:val="00D842FF"/>
  </w:style>
  <w:style w:type="table" w:styleId="TableGrid">
    <w:name w:val="Table Grid"/>
    <w:basedOn w:val="TableNormal"/>
    <w:uiPriority w:val="59"/>
    <w:rsid w:val="00D842F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next w:val="TitleSub"/>
    <w:link w:val="TitleChar"/>
    <w:uiPriority w:val="10"/>
    <w:qFormat/>
    <w:rsid w:val="00E251FF"/>
    <w:pPr>
      <w:spacing w:after="0" w:line="240" w:lineRule="auto"/>
      <w:contextualSpacing/>
      <w:jc w:val="right"/>
    </w:pPr>
    <w:rPr>
      <w:rFonts w:ascii="Arial" w:hAnsi="Arial"/>
      <w:b/>
      <w:color w:val="17365D"/>
      <w:spacing w:val="5"/>
      <w:kern w:val="28"/>
      <w:sz w:val="40"/>
      <w:szCs w:val="52"/>
    </w:rPr>
  </w:style>
  <w:style w:type="character" w:styleId="Hyperlink">
    <w:name w:val="Hyperlink"/>
    <w:basedOn w:val="DefaultParagraphFont"/>
    <w:rsid w:val="00D842FF"/>
    <w:rPr>
      <w:color w:val="0000FF"/>
      <w:u w:val="single"/>
    </w:rPr>
  </w:style>
  <w:style w:type="paragraph" w:customStyle="1" w:styleId="CEUSIndent5">
    <w:name w:val="CEUS_Indent5"/>
    <w:basedOn w:val="pE"/>
    <w:rsid w:val="00D842FF"/>
    <w:pPr>
      <w:ind w:left="2070" w:hanging="432"/>
    </w:pPr>
    <w:rPr>
      <w:szCs w:val="20"/>
    </w:rPr>
  </w:style>
  <w:style w:type="paragraph" w:styleId="ListBullet2">
    <w:name w:val="List Bullet 2"/>
    <w:basedOn w:val="Normal"/>
    <w:rsid w:val="00D842FF"/>
    <w:pPr>
      <w:numPr>
        <w:numId w:val="4"/>
      </w:numPr>
      <w:contextualSpacing/>
    </w:pPr>
  </w:style>
  <w:style w:type="numbering" w:customStyle="1" w:styleId="Itron">
    <w:name w:val="Itron"/>
    <w:uiPriority w:val="99"/>
    <w:rsid w:val="008F6F18"/>
    <w:pPr>
      <w:numPr>
        <w:numId w:val="2"/>
      </w:numPr>
    </w:pPr>
  </w:style>
  <w:style w:type="numbering" w:customStyle="1" w:styleId="CnAListBullets">
    <w:name w:val="CnAListBullets"/>
    <w:uiPriority w:val="99"/>
    <w:rsid w:val="00D842FF"/>
    <w:pPr>
      <w:numPr>
        <w:numId w:val="3"/>
      </w:numPr>
    </w:pPr>
  </w:style>
  <w:style w:type="paragraph" w:styleId="ListParagraph">
    <w:name w:val="List Paragraph"/>
    <w:basedOn w:val="Normal"/>
    <w:uiPriority w:val="34"/>
    <w:qFormat/>
    <w:rsid w:val="00D842FF"/>
    <w:pPr>
      <w:spacing w:after="80"/>
    </w:pPr>
  </w:style>
  <w:style w:type="paragraph" w:customStyle="1" w:styleId="CoverTitle">
    <w:name w:val="CoverTitle"/>
    <w:basedOn w:val="Normal"/>
    <w:link w:val="CoverTitleChar"/>
    <w:qFormat/>
    <w:rsid w:val="00D842FF"/>
    <w:pPr>
      <w:spacing w:after="120"/>
      <w:jc w:val="center"/>
    </w:pPr>
    <w:rPr>
      <w:rFonts w:ascii="Arial" w:hAnsi="Arial"/>
      <w:b/>
      <w:sz w:val="40"/>
    </w:rPr>
  </w:style>
  <w:style w:type="character" w:customStyle="1" w:styleId="CoverTitleChar">
    <w:name w:val="CoverTitle Char"/>
    <w:basedOn w:val="DefaultParagraphFont"/>
    <w:link w:val="CoverTitle"/>
    <w:rsid w:val="00D842FF"/>
    <w:rPr>
      <w:rFonts w:ascii="Arial" w:hAnsi="Arial"/>
      <w:b/>
      <w:sz w:val="40"/>
      <w:szCs w:val="24"/>
    </w:rPr>
  </w:style>
  <w:style w:type="paragraph" w:customStyle="1" w:styleId="CoverNormal">
    <w:name w:val="CoverNormal"/>
    <w:basedOn w:val="Normal"/>
    <w:link w:val="CoverNormalChar"/>
    <w:qFormat/>
    <w:rsid w:val="00D842FF"/>
    <w:pPr>
      <w:contextualSpacing/>
      <w:jc w:val="center"/>
    </w:pPr>
    <w:rPr>
      <w:rFonts w:ascii="Arial" w:hAnsi="Arial"/>
    </w:rPr>
  </w:style>
  <w:style w:type="character" w:customStyle="1" w:styleId="CoverNormalChar">
    <w:name w:val="CoverNormal Char"/>
    <w:basedOn w:val="DefaultParagraphFont"/>
    <w:link w:val="CoverNormal"/>
    <w:rsid w:val="00D842FF"/>
    <w:rPr>
      <w:rFonts w:ascii="Arial" w:hAnsi="Arial"/>
      <w:sz w:val="24"/>
      <w:szCs w:val="24"/>
    </w:rPr>
  </w:style>
  <w:style w:type="paragraph" w:customStyle="1" w:styleId="Halfline">
    <w:name w:val="Halfline"/>
    <w:basedOn w:val="Normal"/>
    <w:next w:val="Normal"/>
    <w:link w:val="HalflineChar"/>
    <w:qFormat/>
    <w:rsid w:val="00DE632E"/>
    <w:pPr>
      <w:spacing w:after="130" w:line="130" w:lineRule="exact"/>
      <w:jc w:val="left"/>
    </w:pPr>
  </w:style>
  <w:style w:type="character" w:customStyle="1" w:styleId="HalflineChar">
    <w:name w:val="Halfline Char"/>
    <w:basedOn w:val="DefaultParagraphFont"/>
    <w:link w:val="Halfline"/>
    <w:rsid w:val="00DE632E"/>
    <w:rPr>
      <w:rFonts w:ascii="Times New Roman" w:hAnsi="Times New Roman"/>
      <w:sz w:val="24"/>
      <w:szCs w:val="24"/>
    </w:rPr>
  </w:style>
  <w:style w:type="paragraph" w:customStyle="1" w:styleId="LetterheadParagraph">
    <w:name w:val="Letterhead Paragraph"/>
    <w:basedOn w:val="Normal"/>
    <w:qFormat/>
    <w:rsid w:val="00573DEC"/>
    <w:pPr>
      <w:spacing w:after="0"/>
    </w:pPr>
    <w:rPr>
      <w:rFonts w:ascii="Arial Narrow" w:hAnsi="Arial Narrow"/>
    </w:rPr>
  </w:style>
  <w:style w:type="character" w:customStyle="1" w:styleId="FootnoteTextChar">
    <w:name w:val="Footnote Text Char"/>
    <w:basedOn w:val="DefaultParagraphFont"/>
    <w:link w:val="FootnoteText"/>
    <w:uiPriority w:val="99"/>
    <w:rsid w:val="008646A2"/>
    <w:rPr>
      <w:rFonts w:ascii="Tms Rmn" w:eastAsia="Times New Roman" w:hAnsi="Tms Rmn"/>
    </w:rPr>
  </w:style>
  <w:style w:type="character" w:customStyle="1" w:styleId="tablefootnoteChar">
    <w:name w:val="table footnote Char"/>
    <w:basedOn w:val="DefaultParagraphFont"/>
    <w:link w:val="tablefootnote"/>
    <w:rsid w:val="009D0319"/>
    <w:rPr>
      <w:rFonts w:ascii="Times New Roman" w:hAnsi="Times New Roman"/>
    </w:rPr>
  </w:style>
  <w:style w:type="paragraph" w:customStyle="1" w:styleId="TitleSub">
    <w:name w:val="TitleSub"/>
    <w:basedOn w:val="Title"/>
    <w:link w:val="TitleSubChar"/>
    <w:autoRedefine/>
    <w:qFormat/>
    <w:rsid w:val="00682A57"/>
    <w:rPr>
      <w:b w:val="0"/>
      <w:sz w:val="32"/>
    </w:rPr>
  </w:style>
  <w:style w:type="character" w:customStyle="1" w:styleId="TitleSubChar">
    <w:name w:val="TitleSub Char"/>
    <w:basedOn w:val="TitleChar"/>
    <w:link w:val="TitleSub"/>
    <w:rsid w:val="00682A57"/>
    <w:rPr>
      <w:sz w:val="32"/>
    </w:rPr>
  </w:style>
  <w:style w:type="character" w:customStyle="1" w:styleId="TitleChar">
    <w:name w:val="Title Char"/>
    <w:basedOn w:val="DefaultParagraphFont"/>
    <w:link w:val="Title"/>
    <w:uiPriority w:val="10"/>
    <w:rsid w:val="00E251FF"/>
    <w:rPr>
      <w:rFonts w:ascii="Arial" w:hAnsi="Arial"/>
      <w:b/>
      <w:color w:val="17365D"/>
      <w:spacing w:val="5"/>
      <w:kern w:val="28"/>
      <w:sz w:val="40"/>
      <w:szCs w:val="52"/>
    </w:rPr>
  </w:style>
  <w:style w:type="paragraph" w:customStyle="1" w:styleId="TitleAdd">
    <w:name w:val="TitleAdd"/>
    <w:basedOn w:val="Title"/>
    <w:link w:val="TitleAddChar"/>
    <w:autoRedefine/>
    <w:qFormat/>
    <w:rsid w:val="00682A57"/>
    <w:rPr>
      <w:b w:val="0"/>
      <w:sz w:val="24"/>
      <w:szCs w:val="32"/>
    </w:rPr>
  </w:style>
  <w:style w:type="character" w:customStyle="1" w:styleId="TitleAddChar">
    <w:name w:val="TitleAdd Char"/>
    <w:basedOn w:val="TitleChar"/>
    <w:link w:val="TitleAdd"/>
    <w:rsid w:val="00682A57"/>
    <w:rPr>
      <w:sz w:val="24"/>
      <w:szCs w:val="32"/>
    </w:rPr>
  </w:style>
  <w:style w:type="character" w:customStyle="1" w:styleId="CommentTextChar">
    <w:name w:val="Comment Text Char"/>
    <w:basedOn w:val="DefaultParagraphFont"/>
    <w:link w:val="CommentText"/>
    <w:uiPriority w:val="99"/>
    <w:rsid w:val="001A749A"/>
    <w:rPr>
      <w:rFonts w:ascii="Times New Roman" w:hAnsi="Times New Roman"/>
    </w:rPr>
  </w:style>
  <w:style w:type="table" w:customStyle="1" w:styleId="ItronBasic">
    <w:name w:val="ItronBasic"/>
    <w:basedOn w:val="TableNormal"/>
    <w:uiPriority w:val="99"/>
    <w:qFormat/>
    <w:rsid w:val="001A749A"/>
    <w:pPr>
      <w:spacing w:after="0" w:line="240" w:lineRule="auto"/>
      <w:ind w:left="0" w:firstLine="0"/>
      <w:jc w:val="left"/>
    </w:pPr>
    <w:tblPr>
      <w:tblInd w:w="0"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108" w:type="dxa"/>
        <w:bottom w:w="0" w:type="dxa"/>
        <w:right w:w="108" w:type="dxa"/>
      </w:tblCellMar>
    </w:tblPr>
    <w:tblStylePr w:type="firstRow">
      <w:rPr>
        <w:b/>
      </w:rPr>
      <w:tblPr/>
      <w:tcPr>
        <w:tcBorders>
          <w:top w:val="single" w:sz="12" w:space="0" w:color="auto"/>
          <w:left w:val="single" w:sz="12" w:space="0" w:color="auto"/>
          <w:bottom w:val="single" w:sz="12" w:space="0" w:color="auto"/>
          <w:right w:val="single" w:sz="12" w:space="0" w:color="auto"/>
        </w:tcBorders>
        <w:shd w:val="clear" w:color="auto" w:fill="D9D9D9" w:themeFill="background1" w:themeFillShade="D9"/>
      </w:tcPr>
    </w:tblStylePr>
  </w:style>
  <w:style w:type="table" w:styleId="TableProfessional">
    <w:name w:val="Table Professional"/>
    <w:basedOn w:val="TableNormal"/>
    <w:rsid w:val="001A749A"/>
    <w:pPr>
      <w:spacing w:after="280"/>
      <w:ind w:left="0" w:firstLine="0"/>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Default">
    <w:name w:val="Default"/>
    <w:rsid w:val="001A749A"/>
    <w:pPr>
      <w:autoSpaceDE w:val="0"/>
      <w:autoSpaceDN w:val="0"/>
      <w:adjustRightInd w:val="0"/>
      <w:spacing w:after="0" w:line="240" w:lineRule="auto"/>
      <w:ind w:left="0" w:firstLine="0"/>
      <w:jc w:val="left"/>
    </w:pPr>
    <w:rPr>
      <w:rFonts w:ascii="Times New Roman" w:eastAsiaTheme="minorHAnsi" w:hAnsi="Times New Roman"/>
      <w:color w:val="000000"/>
      <w:sz w:val="24"/>
      <w:szCs w:val="24"/>
    </w:rPr>
  </w:style>
  <w:style w:type="character" w:styleId="FollowedHyperlink">
    <w:name w:val="FollowedHyperlink"/>
    <w:basedOn w:val="DefaultParagraphFont"/>
    <w:rsid w:val="000B7149"/>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536040632">
      <w:bodyDiv w:val="1"/>
      <w:marLeft w:val="0"/>
      <w:marRight w:val="0"/>
      <w:marTop w:val="0"/>
      <w:marBottom w:val="0"/>
      <w:divBdr>
        <w:top w:val="none" w:sz="0" w:space="0" w:color="auto"/>
        <w:left w:val="none" w:sz="0" w:space="0" w:color="auto"/>
        <w:bottom w:val="none" w:sz="0" w:space="0" w:color="auto"/>
        <w:right w:val="none" w:sz="0" w:space="0" w:color="auto"/>
      </w:divBdr>
    </w:div>
    <w:div w:id="1905754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84D0A8-F362-4FC8-83A0-693F7D9EC5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395</Words>
  <Characters>2313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Itron</Company>
  <LinksUpToDate>false</LinksUpToDate>
  <CharactersWithSpaces>2703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Galawish, Elsia</dc:creator>
  <cp:lastModifiedBy>S L Harris</cp:lastModifiedBy>
  <cp:revision>4</cp:revision>
  <cp:lastPrinted>2011-10-08T18:01:00Z</cp:lastPrinted>
  <dcterms:created xsi:type="dcterms:W3CDTF">2011-10-28T18:16:00Z</dcterms:created>
  <dcterms:modified xsi:type="dcterms:W3CDTF">2011-10-28T23:11:00Z</dcterms:modified>
</cp:coreProperties>
</file>